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28718-2025 i Bodens kommun</w:t>
      </w:r>
    </w:p>
    <w:p>
      <w:r>
        <w:t>Detta dokument behandlar höga naturvärden i avverkningsanmälan A 28718-2025 i Bodens kommun. Denna avverkningsanmälan inkom 2025-06-12 08:15:56 och omfattar 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knärot (VU, §8), garnlav (NT) och veckticka (NT).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13407"/>
            <wp:docPr id="1" name="Picture 1"/>
            <wp:cNvGraphicFramePr>
              <a:graphicFrameLocks noChangeAspect="1"/>
            </wp:cNvGraphicFramePr>
            <a:graphic>
              <a:graphicData uri="http://schemas.openxmlformats.org/drawingml/2006/picture">
                <pic:pic>
                  <pic:nvPicPr>
                    <pic:cNvPr id="0" name="A 28718-2025 karta.png"/>
                    <pic:cNvPicPr/>
                  </pic:nvPicPr>
                  <pic:blipFill>
                    <a:blip r:embed="rId16"/>
                    <a:stretch>
                      <a:fillRect/>
                    </a:stretch>
                  </pic:blipFill>
                  <pic:spPr>
                    <a:xfrm>
                      <a:off x="0" y="0"/>
                      <a:ext cx="5486400" cy="50134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7366586, E 790597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2024).</w:t>
      </w:r>
    </w:p>
    <w:p>
      <w:r>
        <w:rPr>
          <w:b/>
        </w:rPr>
        <w:t>Veckticka (NT)</w:t>
      </w:r>
      <w:r>
        <w:t xml:space="preserve"> förekommer främst i äldre naturskogsartad löv- och blandskog i sena åldersstadier med gamla, döende och döda aspar. Avverkning eller gallring av aspbestånd är ett hot och aspskogar och asprika blandskogar måste bevaras i högre utsträckning än hittills. Sumpskog med asp och sälg har ett särskilt högt naturvärde och bör skyddas helt från skogsbruk. Veckticka är typisk art för </w:t>
      </w:r>
      <w:r>
        <w:rPr>
          <w:i/>
        </w:rPr>
        <w:t xml:space="preserve">9010 Taiga </w:t>
      </w:r>
      <w:r>
        <w:t xml:space="preserve">och </w:t>
      </w:r>
      <w:r>
        <w:rPr>
          <w:i/>
        </w:rPr>
        <w:t>9030 Landhöjningsskog</w:t>
      </w:r>
      <w:r>
        <w:t xml:space="preserve"> (SLU Artdatabanken, 2024; Nitare &amp; Skogsstyrelsen, 2019).</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0.61 ha med buffertzonerna och får av detta skäl inte avverkas.</w:t>
      </w:r>
    </w:p>
    <w:p>
      <w:pPr>
        <w:pStyle w:val="Caption"/>
      </w:pPr>
      <w:r>
        <w:drawing>
          <wp:inline xmlns:a="http://schemas.openxmlformats.org/drawingml/2006/main" xmlns:pic="http://schemas.openxmlformats.org/drawingml/2006/picture">
            <wp:extent cx="5486400" cy="6064215"/>
            <wp:docPr id="2" name="Picture 2"/>
            <wp:cNvGraphicFramePr>
              <a:graphicFrameLocks noChangeAspect="1"/>
            </wp:cNvGraphicFramePr>
            <a:graphic>
              <a:graphicData uri="http://schemas.openxmlformats.org/drawingml/2006/picture">
                <pic:pic>
                  <pic:nvPicPr>
                    <pic:cNvPr id="0" name="A 28718-2025 karta knärot.png"/>
                    <pic:cNvPicPr/>
                  </pic:nvPicPr>
                  <pic:blipFill>
                    <a:blip r:embed="rId17"/>
                    <a:stretch>
                      <a:fillRect/>
                    </a:stretch>
                  </pic:blipFill>
                  <pic:spPr>
                    <a:xfrm>
                      <a:off x="0" y="0"/>
                      <a:ext cx="5486400" cy="606421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7366586, E 790597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