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49809-2023 i Bodens kommun</w:t>
      </w:r>
    </w:p>
    <w:p>
      <w:r>
        <w:t>Detta dokument behandlar höga naturvärden i avverkningsanmälan A 49809-2023 i Bodens kommun. Denna avverkningsanmälan inkom 2023-10-13 00:00:00 och omfattar 5,7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goliatmusseron (VU), blå taggsvamp (NT), gammelgransskål (NT), orange taggsvamp (NT), svartvit taggsvamp (NT), talltaggsvamp (NT), skarp dropptaggsvamp (S) och spindelblomster (S, §8).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87589"/>
            <wp:docPr id="1" name="Picture 1"/>
            <wp:cNvGraphicFramePr>
              <a:graphicFrameLocks noChangeAspect="1"/>
            </wp:cNvGraphicFramePr>
            <a:graphic>
              <a:graphicData uri="http://schemas.openxmlformats.org/drawingml/2006/picture">
                <pic:pic>
                  <pic:nvPicPr>
                    <pic:cNvPr id="0" name="A 49809-2023 karta.png"/>
                    <pic:cNvPicPr/>
                  </pic:nvPicPr>
                  <pic:blipFill>
                    <a:blip r:embed="rId16"/>
                    <a:stretch>
                      <a:fillRect/>
                    </a:stretch>
                  </pic:blipFill>
                  <pic:spPr>
                    <a:xfrm>
                      <a:off x="0" y="0"/>
                      <a:ext cx="5486400" cy="4287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7355586, E 805740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Goliatmusseron (VU)</w:t>
      </w:r>
      <w:r>
        <w:t xml:space="preserve"> är en mykorrhizasvamp knuten till gammal tall på sandig eller grusig mark, främst ljusöppna torra lavtallhedar där svampen växer bland renlavar och lingon. Mager, sandig och brandpräglad tallskog med lång trädkontinuitet bör undantas från trakthyggesbruk och inte kalavverkas. Goliatmusseron är placerad högst upp i Skogsstyrelsens värdepyramid för bedömning av skog med höga naturvärden och den är globalt rödlistad som sårbar (VU) vilket innebär att Sverige har ett internationellt ansvar för arten (SLU Artdatabanken, 2024; Nitare &amp; Skogsstyrelsen, 2019; IUCN, 2020).</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p>
      <w:r>
        <w:rPr>
          <w:b/>
        </w:rPr>
        <w:t xml:space="preserve">Talltaggsvamp (NT) </w:t>
      </w:r>
      <w:r>
        <w:t>förekommer främst i tallnaturskogar eller tallskogar av kontinuitetsskogskaraktär där den bildar mykorrhiza med tall. Särskilt frekvent är den i sandtallskogar med inslag av gamla träd, t.ex. på grusåsar, stränder och sandhedar. Arten hotas främst av skogsavverkning och tycks försvinna efter slutavverkning, markberedning och plantering. Talltaggsvamp är globalt rödlistad som nära hotad (NT) vilket innebär att Sverige har ett internationellt ansvar för arten (IUCN, 2025; SLU Artdatabanken, 2024).</w:t>
      </w:r>
    </w:p>
    <w:p>
      <w:pPr>
        <w:pStyle w:val="Heading1"/>
      </w:pPr>
      <w:r>
        <w:t>Fridlysta arter</w:t>
      </w:r>
    </w:p>
    <w:p>
      <w:r>
        <w:t>Följande fridlysta arter har sina livsmiljöer och växtplatser i den avverkningsanmälda skogen: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0.13 ha med buffertzonerna och får av detta skäl inte avverkas.</w:t>
      </w:r>
    </w:p>
    <w:p>
      <w:pPr>
        <w:pStyle w:val="Caption"/>
      </w:pPr>
      <w:r>
        <w:drawing>
          <wp:inline xmlns:a="http://schemas.openxmlformats.org/drawingml/2006/main" xmlns:pic="http://schemas.openxmlformats.org/drawingml/2006/picture">
            <wp:extent cx="5486400" cy="5217459"/>
            <wp:docPr id="2" name="Picture 2"/>
            <wp:cNvGraphicFramePr>
              <a:graphicFrameLocks noChangeAspect="1"/>
            </wp:cNvGraphicFramePr>
            <a:graphic>
              <a:graphicData uri="http://schemas.openxmlformats.org/drawingml/2006/picture">
                <pic:pic>
                  <pic:nvPicPr>
                    <pic:cNvPr id="0" name="A 49809-2023 karta knärot.png"/>
                    <pic:cNvPicPr/>
                  </pic:nvPicPr>
                  <pic:blipFill>
                    <a:blip r:embed="rId17"/>
                    <a:stretch>
                      <a:fillRect/>
                    </a:stretch>
                  </pic:blipFill>
                  <pic:spPr>
                    <a:xfrm>
                      <a:off x="0" y="0"/>
                      <a:ext cx="5486400" cy="521745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7355586, E 805740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6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