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Override PartName="/word/webSettings.xml" ContentType="application/vnd.openxmlformats-officedocument.wordprocessingml.webSetting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pPr>
        <w:pStyle w:val="Title"/>
      </w:pPr>
      <w:r>
        <w:t>Tillsynsbegäran – information om höga naturvärden och fridlysta arter i avverkningsanmälan A 18548-2025 i Bodens kommun</w:t>
      </w:r>
    </w:p>
    <w:p>
      <w:r>
        <w:t>Detta dokument behandlar höga naturvärden i avverkningsanmälan A 18548-2025 i Bodens kommun. Denna avverkningsanmälan inkom 2025-04-16 00:00:00 och omfattar 24,6 ha.</w:t>
      </w:r>
    </w:p>
    <w:p>
      <w:r>
        <w:t>Vi begär härmed att Skogsstyrelsen fattar beslut enligt miljöbalken som säkerställer att skogens höga naturvärden bevaras samt säkerställer att EU-lagstiftning efterlevs och att artskyddsbrott förhindras. Vi önskar även ta del av de ställningstaganden och beslut som myndigheterna meddelar till följd av aktuell avverkningsanmälan och föreningens inlaga (se 34 § förvaltningslagen).</w:t>
      </w:r>
    </w:p>
    <w:p>
      <w:r>
        <w:t>Nedan beskrivs fynd av naturvårdsarter och fridlysta arter som gjorts i det avverkningsanmälda området. I BILAGA 1 finns artfakta om fridlysta arter.</w:t>
      </w:r>
    </w:p>
    <w:p>
      <w:pPr>
        <w:pStyle w:val="Heading1"/>
      </w:pPr>
      <w:r>
        <w:t>Naturvårdsarter</w:t>
      </w:r>
    </w:p>
    <w:p>
      <w:r>
        <w:t>I avverkningsanmälan har följande 25 naturvårdsarter hittats: gräddporing (VU), knärot (VU, §8), blanksvart spiklav (NT), blågrå svartspik (NT), brunpudrad nållav (NT), doftskinn (NT), dvärgbägarlav (NT), garnlav (NT), kolflarnlav (NT), mörk kolflarnlav (NT), nordtagging (NT), rosenticka (NT), svart taggsvamp (NT), tallticka (NT), tretåig hackspett (NT, §4), ullticka (NT), vaddporing (NT), vedskivlav (NT), blodticka (S), bronshjon (S), dropptaggsvamp (S), nästlav (S), plattlummer (S, §9), orre (§4) och tjäder (§4). Av dessa är 18 rödlistade. För rödlistade arter har rödlistekategorin angivits inom parentes. Arter som är signalarter enligt Skogsstyrelsen har markerats med (S). För fridlysta arter anges även paragrafen i Artskyddsförordningen som arten är fridlyst enligt.</w:t>
      </w:r>
    </w:p>
    <w:p>
      <w:r>
        <w:t>De påträffade naturvårdsarterna är ett tydligt kvitto på att detta rör sig om en skog med höga naturvärden. I Figur 1 visas en karta över det avverkningsanmälda området, där samtliga fyndplatser för naturvårdsarter som finns registrerade på Artportalen har markerats.</w:t>
      </w:r>
    </w:p>
    <w:p>
      <w:pPr>
        <w:pStyle w:val="Caption"/>
      </w:pPr>
      <w:r>
        <w:drawing>
          <wp:inline xmlns:a="http://schemas.openxmlformats.org/drawingml/2006/main" xmlns:pic="http://schemas.openxmlformats.org/drawingml/2006/picture">
            <wp:extent cx="5486400" cy="4561550"/>
            <wp:docPr id="1" name="Picture 1"/>
            <wp:cNvGraphicFramePr>
              <a:graphicFrameLocks noChangeAspect="1"/>
            </wp:cNvGraphicFramePr>
            <a:graphic>
              <a:graphicData uri="http://schemas.openxmlformats.org/drawingml/2006/picture">
                <pic:pic>
                  <pic:nvPicPr>
                    <pic:cNvPr id="0" name="A 18548-2025 karta.png"/>
                    <pic:cNvPicPr/>
                  </pic:nvPicPr>
                  <pic:blipFill>
                    <a:blip r:embed="rId16"/>
                    <a:stretch>
                      <a:fillRect/>
                    </a:stretch>
                  </pic:blipFill>
                  <pic:spPr>
                    <a:xfrm>
                      <a:off x="0" y="0"/>
                      <a:ext cx="5486400" cy="4561550"/>
                    </a:xfrm>
                    <a:prstGeom prst="rect"/>
                  </pic:spPr>
                </pic:pic>
              </a:graphicData>
            </a:graphic>
          </wp:inline>
        </w:drawing>
      </w:r>
    </w:p>
    <w:p>
      <w:pPr>
        <w:pStyle w:val="Caption"/>
      </w:pPr>
      <w:r>
        <w:t>Figur 1. Fyndplatser för naturvårdsarter i det avverkningsanmälda området (röd linje). Markörer utan svart kant är placerade på fyndplatsen. Markörer med svart kant är placerade vid sidan av fyndplatsen och har ett svart streck som visar fyndplatsens exakta position. Kartans mittpunktskoordinat är N 7340998, E 780677 i SWEREF 99 TM.</w:t>
      </w:r>
    </w:p>
    <w:p>
      <w:r>
        <w:rPr>
          <w:b/>
        </w:rPr>
        <w:t>Blanksvart spiklav (NT)</w:t>
      </w:r>
      <w:r>
        <w:t xml:space="preserve"> förekommer på torr, hård, gammal kärnved men även på äldre ytved av tall i naturskogsartade bestånd med begränsad brandpåverkan och ostörd hydrologi. Skogsbruksåtgärder på eller i närheten av lokaler med blanksvart spiklav utgör ett hot. Naturskogsartade öppna tall- och barrblandskogar med blanksvart spiklav indikerar höga biologiska värden och bör bevaras (SLU Artdatabanken, 2024).</w:t>
      </w:r>
    </w:p>
    <w:p>
      <w:r>
        <w:rPr>
          <w:b/>
        </w:rPr>
        <w:t>Blågrå svartspik (NT)</w:t>
      </w:r>
      <w:r>
        <w:t xml:space="preserve"> växer på torr, hård ved av gamla, solbelysta torrakor, högstubbar av tall och grova döda grenar på levande tallar i öppna bestånd av naturskogskaraktär. Nästan alltid rör det sig om tjärrika torrträd och högstubbar (töreved, keloträd) som kan vara en bra bit över hundra år, i vissa fall sannolikt hundratals år gamla. Skogsbruk är idag det allvarligaste hotet. Ett långsiktigt hot är att nybildningen av gamla torrakor och högstubbar är en långsam process vilken ofta är beroende av skogsbrand. Nytt substrat bildas numera sannolikt nästan inte alls då antalet naturliga skogsbränder har minskat drastiskt på grund av effektivare brandbekämpning. Döda träd som lämnas efter avverkning är inte lämpliga för arten, eftersom dessa träd inte varit utsatta för skogsbrand och bildat tjärrik ved. Skogsbruksåtgärder på eller i närheten av växtplatserna bör undvikas. Naturskogsartade skogar med förekomst av arten indikerar höga biologiska värden och bör bevaras. Blågrå svartspik har en mycket begränsad utbredning utanför de nordiska länderna varför dessa länder har ett speciellt ansvar för arten (SLU Artdatabanken, 2024).</w:t>
      </w:r>
    </w:p>
    <w:p>
      <w:r>
        <w:rPr>
          <w:b/>
        </w:rPr>
        <w:t>Brunpudrad nållav (NT)</w:t>
      </w:r>
      <w:r>
        <w:t xml:space="preserve"> är beroende av hög, jämn luftfuktighet och kan påträffas i fuktiga skogar av naturskogskaraktär, ofta i sumpgranskog eller andra sumpskogar. Arten är placerad högst upp i Skogsstyrelsens värdepyramid för bedömning av skog med höga naturvärden och förekomster bör undantas från skogsbruksåtgärder (SLU Artdatabanken, 2024; Nitare &amp; Skogsstyrelsen, 2019).</w:t>
      </w:r>
    </w:p>
    <w:p>
      <w:r>
        <w:rPr>
          <w:b/>
        </w:rPr>
        <w:t>Doftskinn (NT)</w:t>
      </w:r>
      <w:r>
        <w:t>, rödlistad som nära hotad, är en mycket bra signalart för boreal granskog och indikerar ett gran-skogsekosystem med lång kontinuitet av grova lågor. Arten är placerad i toppen av Skogsstyrelsens värdepyramid för bedömning av skog med höga naturvärden och har klassats som en “urskogsindikator”, då den förekommer med ett tydligt optimum i helt eller nästan helt orörda skogar (Nitare &amp; Skogsstyrelsen, 2019).</w:t>
      </w:r>
    </w:p>
    <w:p>
      <w:r>
        <w:rPr>
          <w:b/>
        </w:rPr>
        <w:t>Dvärgbägarlav (NT)</w:t>
      </w:r>
      <w:r>
        <w:t xml:space="preserve"> förekommer över hela Sverige på gammal hård ved, huvudsakligen på tall men i södra Sverige även på ek. Veden utgörs framförallt av grova stubbar, lågor och grenar. Substratet har blivit sällsyntare och nybildning av substrat sker bara i begränsad omfattning. Arten hotas av att grova lågor blir allt sällsyntare i dagens kulturskogar samt att nybildningen av lämpliga substrat går mycket långsamt. En riklig tillgång på gamla tall- eller eklågor måste säkerställas på artens lokaler (SLU Artdatabanken, 2024; Nitare &amp; Skogsstyrelsen, 2019).</w:t>
      </w:r>
    </w:p>
    <w:p>
      <w:r>
        <w:rPr>
          <w:b/>
        </w:rPr>
        <w:t>Garnlav (NT)</w:t>
      </w:r>
      <w:r>
        <w:t xml:space="preserve"> är en utpräglad barrskogsart som ibland kan drapera träden i norrländska grannaturskogar med hög luftfuktighet. Den förekommer även i talldominerade bestånd där den, förutom i trädens grenverk, påträffas hängande över ojämnheter i tallbarken. Arten har minskat starkt i södra och mellersta Sverige och den minskar även i sitt nordliga utbredningsområde. Orsaken till tillbakagången beror främst på slutavverkningar av naturskogsartade skogar. Bestånd med riklig förekomst bör regelmässigt sparas. Garnlav är värdväxt för den mycket sällsynta och akut hotade fjärilen barrskogslavfly (CR) som hör hemma i boreala barrskogar med riklig förekomst av värdväxten. Tidigare kunde arten konstateras årligen på flera platser vid Dala-Floda i Dalarna innan lokalerna kalavverkades. Senaste fyndet i landet av barrskogslavfly är från år 2000 då den påträffades vid Högberget i Sollefteå kommun (SLU Artdatabanken, 2024).</w:t>
      </w:r>
    </w:p>
    <w:p>
      <w:r>
        <w:rPr>
          <w:b/>
        </w:rPr>
        <w:t>Gräddporing (VU)</w:t>
      </w:r>
      <w:r>
        <w:t xml:space="preserve"> växer nästan enbart i urskogsartad barrskog på gamla, kraftigt murkna, grova och mossbelupna tallågor i något fuktiga och skuggiga lägen. Arten är placerad högst upp i Skogsstyrelsens värdepyramid för bedömning av skog med höga naturvärden och indikerar gamla och relativt orörda tallnaturskogar med höga naturvärden där det under låg tid kontinuerligt funnits inslag av grova tallågor. För att på sikt hejda artens vikande trend behöver merparten av gräddporingens nu kända växtplatser undantas från skogsbruk (SLU Artdatabanken, 2024; Nitare &amp; Skogsstyrelsen, 2019).</w:t>
      </w:r>
    </w:p>
    <w:p>
      <w:r>
        <w:rPr>
          <w:b/>
        </w:rPr>
        <w:t>Kolflarnlav (NT)</w:t>
      </w:r>
      <w:r>
        <w:t xml:space="preserve"> är brandberoende och växer nästan uteslutande på kolad hård kärnved av tall. Etableringen verkar ske först 100–300 år efter brand och nytt substrat nybildas i mycket begränsad omfattning. Avverkning av tallskog av naturskogskaraktär med spår av återkommande bränder är ett hot och mängden lämplig ved att växa på för arten minskar dels på grund av naturlig nedbrytning men framförallt på grund av att det förstörs i samband med slutavverkningar, gallringar och markberedning. Såväl kolflarnlav som mörk kolflarnlav har glänsande bålfjäll och förekommer främst i tall- och blandbarrskogar av naturskogskaraktär med spår av återkommande bränder. Skogar som dessa hyser höga biologiska värden och bör skyddas (SLU Artdatabanken, 2024).</w:t>
      </w:r>
    </w:p>
    <w:p>
      <w:r>
        <w:rPr>
          <w:b/>
        </w:rPr>
        <w:t>Mörk kolflarnlav (NT)</w:t>
      </w:r>
      <w:r>
        <w:t xml:space="preserve"> är brandberoende och växer nästan uteslutande på kolad hård kärnved av tall. Arten förekommer främst i glesa, öppna tall- och blandbarrskogar av naturskogskaraktär och etableringen verkar ske sent efter brand, kanske först efter 100–300 år. Mörk kolflarnlav indikerar skog med höga naturvärden och vanligast är att den påträffas på rester av nedbrunna torrakor och högstubbar och lågstubbar som är så grova att hela innandömet är urbränt. Tall- och blandbarrskogar av naturskogskaraktär med spår av återkommande bränder hyser höga biologiska värden och bör skyddas (SLU Artdatabanken, 2024).</w:t>
      </w:r>
    </w:p>
    <w:p>
      <w:r>
        <w:rPr>
          <w:b/>
        </w:rPr>
        <w:t>Nordtagging (NT)</w:t>
      </w:r>
      <w:r>
        <w:t xml:space="preserve"> växer främst på tallågor av grövre dimensioner och påträffas huvudsakligen i äldre skog som inte kalavverkats. Nordtaggingen missgynnas av att områden med äldre tallskog har minskat starkt. Bekämpning av skogsbränder, samtidigt som skogsbruket omvandlar naturligt glesa tallbestånd till likartade och betydligt tätare bestånd, har missgynnat arten. Bristen på gamla tallågor utgör på sikt ett allvarligt hot och återskapandet av lämpliga biotoper tar mycket lång tid. Områden med olikåldriga bestånd av tall och med stort inslag av äldre träd bör undantas från skoglig produktion (SLU Artdatabanken, 2024).</w:t>
      </w:r>
    </w:p>
    <w:p>
      <w:r>
        <w:rPr>
          <w:b/>
        </w:rPr>
        <w:t>Rosenticka (NT)</w:t>
      </w:r>
      <w:r>
        <w:t>, rödlistad som nära hotad, ingår i en karaktäristisk association av vedsvampar som växer på gamla, grova granlågor i urskogsartade barrskogar. Den är placerad i toppen av Skogsstyrelsens värdepyramid för bedömning av skog med höga naturvärden och indikerar ett granskogsekosystem med långvarig kontinuitet av grova lågor. Artens beroende av grova granlågor innebär att alla skogsskötselåtgärder på eller i omedelbar närhet av lokalerna utgör ett hot på lång sikt. Det är angeläget att populationerna inte ytterligare glesas ut och ett tillräckligt antal områden där arten nu finns måste sparas för framtiden (Nitare &amp; Skogsstyrelsen, 2019; SLU Artdatabanken, 2024).</w:t>
      </w:r>
    </w:p>
    <w:p>
      <w:r>
        <w:rPr>
          <w:b/>
        </w:rPr>
        <w:t xml:space="preserve">Svart taggsvamp (NT) </w:t>
      </w:r>
      <w:r>
        <w:t>bildar huvudsakligen mykorrhiza med gran och tall, men även med ek och bok. Slutavverkning utgör det största hotet mot arten och den överlever sannolikt inte en föryngringshuggning då barrträdens rötter dör efter avverkningen. Förekomsterna i barrskog är särskilt utsatta eftersom arten föredrar att växa i äldre, virkesrika skogar med högre bonitet, som avverkas i rask takt. Fler äldre, virkesrika barrskogar med högre bonitet måste formellt skyddas som biotopskyddsområden eller naturreservat. Även oskyddade växtplatser i lövskogsbiotoper bör få ett starkt skydd. Skogsområden med svart taggsvamp bör inte gallras eller plockhuggas om inte huggningen efterföljs av skogsbete (SLU Artdatabanken, 2024).</w:t>
      </w:r>
    </w:p>
    <w:p>
      <w:r>
        <w:rPr>
          <w:b/>
        </w:rPr>
        <w:t xml:space="preserve">Tallticka (NT) </w:t>
      </w:r>
      <w:r>
        <w:t>uppträder först på tallar som är 100–150 år gamla men är vanligast på träd som är runt 150–200 år eller äldre. I skogslandskapet är den främst knuten till tallnaturskogar och restbiotoper med biologiskt gamla träd och signalerar vanligtvis skyddsvärda tallbestånd med höga naturvärden (SLU Artdatabanken, 2023; Nitare &amp; Skogsstyrelsen, 2019).</w:t>
      </w:r>
    </w:p>
    <w:p>
      <w:r>
        <w:rPr>
          <w:b/>
        </w:rPr>
        <w:t>Ullticka (NT)</w:t>
      </w:r>
      <w:r>
        <w:t xml:space="preserve"> är knuten till restbestånd av barrnaturskog och förekommer med ett tydligt optimum i orörda eller måttligt påverkade gamla granskogar där det föreligger viss kontinuitet av grov död ved. Ullticka är en bra signalart inom hela sitt utbredningsområde och i södra Sverige är den sällsynt och en god signalart för skyddsvärda granskogsmiljöer. Den hotas av avverkning och fragmentering av naturskog och äldre granskog med lång trädkontinuitet. På ullticka kan ibland ulltickeporing (VU) påträffas - det är en sällsynt ticka som nyligen delats upp i tre olika arter: </w:t>
      </w:r>
      <w:r>
        <w:rPr>
          <w:i/>
        </w:rPr>
        <w:t xml:space="preserve">Skeletocutis brevispora </w:t>
      </w:r>
      <w:r>
        <w:t>(ulltickeporing)</w:t>
      </w:r>
      <w:r>
        <w:rPr>
          <w:i/>
        </w:rPr>
        <w:t>, Skeletocutis delicata och Skeletocutis exilis</w:t>
      </w:r>
      <w:r>
        <w:t>. De två sistnämnda arterna står för närvarande (2020) som ej bedömda i rödlistan (SLU Artdatabanken, 2024; Nitare &amp; Skogsstyrelsen, 2019; Miettinen &amp; Niemelä, 2018).</w:t>
      </w:r>
    </w:p>
    <w:p>
      <w:r>
        <w:rPr>
          <w:b/>
        </w:rPr>
        <w:t xml:space="preserve">Vaddporing (NT) </w:t>
      </w:r>
      <w:r>
        <w:t>är en brunrötande vednedbrytare som hittas på undersidan av liggande murken tallved i olika former. Substratet utgörs framför allt av den typ av hård, kådimpregnerad och ofta kolad tallved som skapas i brandpräglad skog. Vedtypen nybildas i mycket liten omfattning och det är sannolikt att arten upplever en utdöendeskuld. För att garantera artens fortlevnad bör man både säkra att artens växtplatser hålls intakta samt att långsiktigt säkerställa att ny ved tillkommer, allra helst i omedelbar anslutning till artens växtplatser. Skoglig gallring och annat uttag av virke innebär ett hot mot arten (SLU Artdatabanken, 2024).</w:t>
      </w:r>
    </w:p>
    <w:p>
      <w:r>
        <w:rPr>
          <w:b/>
        </w:rPr>
        <w:t>Vedskivlav (NT)</w:t>
      </w:r>
      <w:r>
        <w:t xml:space="preserve"> växer på gammal, torr, exponerad, hård kärnved av framförallt tall i naturskogsartade bestånd. Avverkning av tallskog av naturskogskaraktär med spår av återkommande bränder är ett hot. Mängden lämplig ved att växa på för vedskivlav minskar, dels på grund av naturlig nedbrytning men framförallt på grund av att de förstörs i samband med slutavverkningar, gallringar och markberedning. Tall- och blandbarrskogar av naturskogskaraktär med spår av återkommande bränder bör skyddas (SLU Artdatabanken, 2024).</w:t>
      </w:r>
    </w:p>
    <w:p>
      <w:pPr>
        <w:pStyle w:val="Heading1"/>
      </w:pPr>
      <w:r>
        <w:t>Fridlysta arter</w:t>
      </w:r>
    </w:p>
    <w:p>
      <w:r>
        <w:t>Följande fridlysta arter har sina livsmiljöer och växtplatser i den avverkningsanmälda skogen: knärot (VU, §8), tretåig hackspett (NT, §4), plattlummer (S, §9), orre (§4) och tjäder (§4).</w:t>
      </w:r>
    </w:p>
    <w:p>
      <w:r>
        <w:t xml:space="preserve">Observera att medlemsländerna är skyldiga att agera i enlighet med EU:s fågeldirektiv där det uttryckligen står att direktivet gäller för fåglar samt för deras ägg, bon och </w:t>
      </w:r>
      <w:r>
        <w:rPr>
          <w:b/>
        </w:rPr>
        <w:t xml:space="preserve">livsmiljöer </w:t>
      </w:r>
      <w:r>
        <w:t>(artikel 1). Vidare att de åtgärder som vidtas inte får leda till en försämring av den nuvarande situationen beträffande bevarandet av de fågelarter som avses i artikel 1 (artikel 13). Fågeldirektivet är styrande för tillsynsansvariga myndigheters ärendehantering, ställningstaganden och beslutsfattande.</w:t>
      </w:r>
    </w:p>
    <w:p>
      <w:r>
        <w:rPr>
          <w:b/>
        </w:rPr>
        <w:t>Knärot (VU, §8)</w:t>
      </w:r>
      <w:r>
        <w:t xml:space="preserve"> är rödlistad som sårbar och fridlyst enligt 8§ artskyddsförordningen. En nyligen genomförd analys av 79 floraväktarlokaler indikerar att det behövs någonstans mellan 100 och 150 meters skyddszon för att en knärotspopulation inte ska dö ut på lång sikt (Sebestyén &amp; Sundberg, 2025). Detta ligger väl i linje med tidigare genomförda studier som visar att det krävs väl tilltagna buffertzoner för att knäroten inte ska ta skada av skogsbruksåtgärder i intilliggande skog (Johnson, 2014; Koelmeijer m.fl., 2022; Skogsstyrelsen, 2022). Arten är även känslig för gallring vilket framgår av Skogsstyrelsens egen vägledning för hänsyn till knärot (Skogsstyrelsen, 2022). För rika förekomster av knärot är reservatsbildning eller biotopskydd lämpliga åtgärder för att skydda den. På knärot kan den sällsynta rostsvampen </w:t>
      </w:r>
      <w:r>
        <w:rPr>
          <w:i/>
        </w:rPr>
        <w:t>Pucciniastrum goodyerae</w:t>
      </w:r>
      <w:r>
        <w:t xml:space="preserve"> påträffas. </w:t>
      </w:r>
      <w:r>
        <w:rPr>
          <w:i/>
        </w:rPr>
        <w:t>Pucciniastrum goodyerae</w:t>
      </w:r>
      <w:r>
        <w:t xml:space="preserve"> är klassad som NE (ej bedömd) i rödlistan (SLU Artdatabanken, 2024).</w:t>
      </w:r>
    </w:p>
    <w:p>
      <w:r>
        <w:t>I det avverkningsanmälda området finns 9 fyndplatser för knärot registrerade på Artportalen. Figur 2 visar gränserna för buffertzoner på 50 m, som behöver lämnas kring fyndplatserna för att knärotslokalerna inte ska försvinna vid en avverkning. Av det avverkningsanmälda området överlappar 1.71 ha med buffertzonerna och får av detta skäl inte avverkas.</w:t>
      </w:r>
    </w:p>
    <w:p>
      <w:pPr>
        <w:pStyle w:val="Caption"/>
      </w:pPr>
      <w:r>
        <w:drawing>
          <wp:inline xmlns:a="http://schemas.openxmlformats.org/drawingml/2006/main" xmlns:pic="http://schemas.openxmlformats.org/drawingml/2006/picture">
            <wp:extent cx="5486400" cy="5587644"/>
            <wp:docPr id="2" name="Picture 2"/>
            <wp:cNvGraphicFramePr>
              <a:graphicFrameLocks noChangeAspect="1"/>
            </wp:cNvGraphicFramePr>
            <a:graphic>
              <a:graphicData uri="http://schemas.openxmlformats.org/drawingml/2006/picture">
                <pic:pic>
                  <pic:nvPicPr>
                    <pic:cNvPr id="0" name="A 18548-2025 karta knärot.png"/>
                    <pic:cNvPicPr/>
                  </pic:nvPicPr>
                  <pic:blipFill>
                    <a:blip r:embed="rId17"/>
                    <a:stretch>
                      <a:fillRect/>
                    </a:stretch>
                  </pic:blipFill>
                  <pic:spPr>
                    <a:xfrm>
                      <a:off x="0" y="0"/>
                      <a:ext cx="5486400" cy="5587644"/>
                    </a:xfrm>
                    <a:prstGeom prst="rect"/>
                  </pic:spPr>
                </pic:pic>
              </a:graphicData>
            </a:graphic>
          </wp:inline>
        </w:drawing>
      </w:r>
    </w:p>
    <w:p>
      <w:pPr>
        <w:pStyle w:val="Caption"/>
      </w:pPr>
      <w:r>
        <w:t>Figur 2. Fyndplatser och buffertzoner för knärot i det avverkningsanmälda området. Endast fyndplatser vars buffertzoner överlappar med det avverkningsanmälda området har tagits med i visualiseringen. Kartans mittpunktskoordinat är N 7340998, E 780677 i SWEREF 99 TM.</w:t>
      </w:r>
    </w:p>
    <w:p>
      <w:pPr>
        <w:pStyle w:val="Caption"/>
      </w:pPr>
    </w:p>
    <w:p>
      <w:r>
        <w:rPr>
          <w:b/>
        </w:rPr>
        <w:t>Tjäder (§4)</w:t>
      </w:r>
      <w:r>
        <w:t xml:space="preserve">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r>
        <w:rPr>
          <w:b/>
        </w:rPr>
        <w:t>Tretåig hackspett (NT, §4)</w:t>
      </w:r>
      <w:r>
        <w:t xml:space="preserve"> är rödlistad som nära hotad och ingår i bilaga 1 i EU:s fågeldirektiv. Tretåig hackspett är för sin överlevnad beroende av kontinuerlig tillförsel av äldre döende och död ved, som sker genom naturliga självgallringsprocesser i äldre grannaturskogar och barrblandade naturskogar. Om en skog genom skogsbruk gallras eller glesas ur så upphör och uteblir i stort sett den naturliga självgallringsprocessen för mycket lång tid framöver vilket omöjliggör upprätthållandet av den kontinuerliga ekologiska funktionen i ett område. Det finns studier som visar att naturskogens självgallringsprocess som den tretåiga hackspetten är beroende av, inte kan ersättas med efterlämnad hänsyn i skogsbruket (Imbeau &amp; Desrochers, 2002). Storleken på häckningsreviret varierar med skogstypen, förekomsten av död ved och graden av fragmentering, men är i allmänhet i storleksordningen 25–100 hektar. Vintertid krävs ofta betydligt större områden och det finns studier som antyder att arten behöver minst 100 hektar äldre skog. I områden med låg bonitet kan det behövas över 200 hektar lämpligt habitat för att ett par ska kunna reproducera sig. Områden med dokumenterad permanent förekomst i naturskogsmiljöer har vanligen så stora naturvärden att skogsbruk är olämpligt (Skogsstyrelsen, 2016).</w:t>
      </w:r>
    </w:p>
    <w:p>
      <w:r>
        <w:t>I BILAGA 1 finns mer detaljerad information om ekologi samt krav på livsmiljö hos fridlysta arter.</w:t>
      </w:r>
    </w:p>
    <w:p>
      <w:r>
        <w:br w:type="page"/>
      </w:r>
    </w:p>
    <w:p>
      <w:pPr>
        <w:pStyle w:val="Title"/>
      </w:pPr>
      <w:r>
        <w:t>BILAGA 1 – Fridlysta arter</w:t>
      </w:r>
    </w:p>
    <w:p>
      <w:pPr>
        <w:pStyle w:val="Heading1"/>
      </w:pPr>
      <w:r>
        <w:t>Knärot – ekologi samt krav på livsmiljön</w:t>
      </w:r>
    </w:p>
    <w:p>
      <w:r>
        <w:t>Knärot är fridlyst enligt 8 och 15 §§ artskyddsförordningen och klassad som sårbar (VU) enligt rödlistan 2020. Knärot är beroende av hög och jämn luftfuktighet i gamla, ostörda skogsmiljöer och är känslig för snabba förändringar av ljus-/vindförhållanden eller uttorkning. På grund av ett alltför intensivt skogsbruk har den minskat med 40 (25–50) % under de senaste 60 åren och i framtiden bedöms minskningstakten uppgå till 30 (20–40) %. Till följd av att arten har en dokumenterat högre minskningstakt i förhållande till sin generationstid än vad som tidigare varit känt (data från Riksskogstaxeringen) höjdes den till hotkategori sårbar (VU) i rödlistan 2020 (SLU Artdatabanken, 2024).</w:t>
      </w:r>
    </w:p>
    <w:p>
      <w:r>
        <w:t>En analys av 79 floraväktarlokaler åren 1990–2015 vilka återbesökts under 2020–2024 visade på en tydlig negativ påverkan på knärotsförekomster från större hyggen i närområdet (inom 150–200 m) vilket indikerar att kanteffekter har en stor påverkan på populationerna. Resultaten bekräftar knärotens känslighet för kanteffekter och visar vikten av att skydda större skogsbestånd för att bevara arten. Om det blir höga andelar (&gt;30%) hyggen inom 200 meter från en knärotsförekomst så ökar risken för att en knärotspopulation dör ut och det verkar det behövas någonstans mellan 100 och 150 meters skyddszon för att bevara arten på lång sikt (Sebestyén &amp; Sundberg, 2025).</w:t>
      </w:r>
    </w:p>
    <w:p>
      <w:r>
        <w:t xml:space="preserve">Samuel Johnsons doktorsavhandling </w:t>
      </w:r>
      <w:r>
        <w:rPr>
          <w:i/>
        </w:rPr>
        <w:t>“Retention Forestry as a Conservation Measure for Boreal Forest Ground Vegetation”</w:t>
      </w:r>
      <w:r>
        <w:t xml:space="preserve"> (SLU, Uppsala 2014) visar att det krävs väl tilltagna skyddszoner för att knärotens växtplatser inte ska ta skada av skogsbruksåtgärder i intilliggande områden: </w:t>
      </w:r>
      <w:r>
        <w:rPr>
          <w:i/>
        </w:rPr>
        <w:t xml:space="preserve">“Study III shows that retention patches smaller than 0.5 ha do not lifeboat the sensitive forest herb G. repens, a species that depend on stable microclimatic conditions typical for intact forest stands.” </w:t>
      </w:r>
      <w:r>
        <w:t xml:space="preserve">Vidare </w:t>
      </w:r>
      <w:r>
        <w:rPr>
          <w:i/>
        </w:rPr>
        <w:t>“More sensitive forest species are not lifeboated in retention patches ranging from 0.05 to 0.5 ha (Papers II &amp; III).”</w:t>
      </w:r>
    </w:p>
    <w:p>
      <w:r>
        <w:t xml:space="preserve">Johnsons (2014) rekommendation på minst 50 meters breda skyddszoner runt knärotens växtplatser motsvarar en areal på 0,78 hektar, vilket ligger i linje med andra studier som gjorts på känsliga skogsarter: </w:t>
      </w:r>
      <w:r>
        <w:rPr>
          <w:i/>
        </w:rPr>
        <w:t>“In study III I also show that translocated specimens of G. repens survives well in mature forests at least 50 m from the nearest edge to an open area. Moreover, measures of temperature and humidity show that such distances from an open area is far enough to offer a microclimate that is more stable compared to what present in retention patches of around 0.1 ha. This means that the very centre of a circular patch with radius 50 m (equals a size of 0.78 ha) should offer conditions similar to interior forest and would perhaps be a suitable habitat for G. repens and similar species. Previous studies from both North America and Sweden have also concluded that patches between 0.5 and one ha are sufficient for preserving interior forest vegetation as well as sensitive lichens and bryophytes (de Graaf &amp; Roberts 2009; Halpern et al. 2012; Rudolphi et al. 2014).”</w:t>
      </w:r>
    </w:p>
    <w:p>
      <w:r>
        <w:t>En nyligen publicerad vetenskaplig uppsats av Koelmeijer m.fl. (2022) inkluderar orkidén knärots skyddsbehov. I uppsatsen berörs problemet med uttorkning för växter, bl.a. för knärot, ett problem som blivit accentuerat på grund av den pågående klimatförändringen och torra somrar, t.ex. den exceptionellt torra sommaren 2018. I uppsatsen undersöks områden med tre olika avstånd från kalhyggeskant med avseende på skydd bl.a. för knärot. Det första området har avstånd upp till 20 m från hyggeskant (Strong edge effect), det andra 20–40 m från hyggeskant (Weak edge effect) och det tredje avser större avstånd från hyggeskant, där kanteffekten anses vara försumbar (Interior). Ett resultat var att man fann stor eller mycket stor uttorkningseffekt på känsliga och rödlistade skogsarter vid de kortare avstånden till hyggeskant, medan effekt av uttorkning inte konstaterades på större avstånd (Interior). För orkidén knärot fann man en rik förekomst (upp till 0,06 dm2/m2) på stort avstånd från hyggeskant (Interior), medan förekomsten var liten eller närmast försumbar i de områden som klassificerades som Weak edge effect respektive Strong edge effect. Arbetet påpekar att de allt oftare förekommande torra somrarna ger ytterligare skäl att utöka skyddsavståndet från hyggen till den fuktkrävande arten knärot (Koelmeijer m.fl., 2022).</w:t>
      </w:r>
    </w:p>
    <w:p>
      <w:r>
        <w:t>Även Skogsstyrelsens egen vägledning för hänsyn till knärot ligger i linje med ovanstående forskningsstudier. Av vägledningen framgår det att för med hög sannolikhet kunna bevara befintliga förekomster krävs relativt stora avsättningar av uppvuxen skog med slutet och relativt tätt kronskikt. Som riktlinje kan krävas ett avstånd på 50 meter in från brynet för att vidmakthålla ett fungerande mikroklimat. Detta innebär att fristående hänsynsytor för många arter (kärlväxter, lavar och mossor) kan behöva ha en area överstigande 0,8 hektar (cirkelyta med radien 50 meter = 0,78 hektar) för att bibehålla lokalklimatet. Även ganska små förändringar i form av förändrade ljus- och fuktighetsförhållanden, till exempel till följd av gallring, kan leda till att arten försvinner till följd av konkurrens med mera ljuskrävande och snabbväxande arter (Skogsstyrelsen, 2022).</w:t>
      </w:r>
    </w:p>
    <w:p>
      <w:r>
        <w:t>Vid tillämpning av försiktighetsprincipen enligt 2 kap. 3 § miljöbalken bör sålunda 100–150 meters skyddszon lämnas runt knärotens växtplatser.</w:t>
      </w:r>
    </w:p>
    <w:p>
      <w:pPr>
        <w:pStyle w:val="Heading2"/>
      </w:pPr>
      <w:r>
        <w:t>Referenser – knärot</w:t>
      </w:r>
    </w:p>
    <w:p>
      <w:r>
        <w:t xml:space="preserve">de Graaf M &amp; Roberts M.R., 2009. </w:t>
      </w:r>
      <w:r>
        <w:rPr>
          <w:i/>
        </w:rPr>
        <w:t xml:space="preserve">Short-term response of the herbaceous layer within leave patches after harvest. </w:t>
      </w:r>
      <w:r>
        <w:t>Forest Ecology and Management 257, 1014–1025</w:t>
      </w:r>
    </w:p>
    <w:p>
      <w:r>
        <w:t xml:space="preserve">Halpern, C. B., Halaj, J., Evans, S. A., &amp; Dovciak, M., 2012. </w:t>
      </w:r>
      <w:r>
        <w:rPr>
          <w:i/>
        </w:rPr>
        <w:t xml:space="preserve">Level and pattern of overstory retention interact to shape long-term responses of understories to timber harvest. </w:t>
      </w:r>
      <w:r>
        <w:t>Ecological Applications, 22, 2049–2064</w:t>
      </w:r>
    </w:p>
    <w:p>
      <w:r>
        <w:t xml:space="preserve">Johnson, S., 2014. </w:t>
      </w:r>
      <w:r>
        <w:rPr>
          <w:i/>
        </w:rPr>
        <w:t>Retention Forestry as a Conservation Measure for Boreal Forest Ground Vegetation</w:t>
      </w:r>
      <w:r>
        <w:t>. Doktorsavhandling, SLU, Uppsala</w:t>
      </w:r>
    </w:p>
    <w:p>
      <w:r>
        <w:t xml:space="preserve">Koelmeijer, I. A., Ehrlén, J., Jönsson, M., De Frenne, P., Berg, P., Andersson, J., Weibull, H. &amp; Hylander, N. 2022. </w:t>
      </w:r>
      <w:r>
        <w:rPr>
          <w:i/>
        </w:rPr>
        <w:t xml:space="preserve">Interactive effects of drought and edge exposure on old-growth forest understory species. </w:t>
      </w:r>
      <w:r>
        <w:t>Landscape Ecology, 37, sid 1839–1853</w:t>
      </w:r>
    </w:p>
    <w:p>
      <w:r>
        <w:t xml:space="preserve">Rudolphi, J., Jönsson, M. T., &amp; Gustafsson, L., 2014. </w:t>
      </w:r>
      <w:r>
        <w:rPr>
          <w:i/>
        </w:rPr>
        <w:t xml:space="preserve">Biological legacies buffer local species extinction after logging. </w:t>
      </w:r>
      <w:r>
        <w:t>Journal of Applied Ecology. 51, 53–62.</w:t>
      </w:r>
    </w:p>
    <w:p>
      <w:r>
        <w:t xml:space="preserve">Sebestyén, L. och Sundberg, S. 2025.  </w:t>
      </w:r>
      <w:r>
        <w:rPr>
          <w:i/>
        </w:rPr>
        <w:t>Påverkan på knärotslokaler från hyggen i närheten.</w:t>
      </w:r>
      <w:r>
        <w:t xml:space="preserve"> DAPHNE 36:1 2025. Botaniska Sällskapet i Stockholm</w:t>
      </w:r>
    </w:p>
    <w:p>
      <w:r>
        <w:t xml:space="preserve">Skogsstyrelsen, 2022. </w:t>
      </w:r>
      <w:r>
        <w:rPr>
          <w:i/>
        </w:rPr>
        <w:t xml:space="preserve">Vägledning för hänsyn till knärot. </w:t>
      </w:r>
      <w:r>
        <w:t>https://www.skogsstyrelsen.se/lag-och-tillsyn/artskydd/vagledningar-och-kunskapsstod-artskydd/vagledning-for-hansyn-till-knarot/</w:t>
      </w:r>
    </w:p>
    <w:p>
      <w:r>
        <w:t xml:space="preserve">SLU Artdatabanken, 2024. </w:t>
      </w:r>
      <w:r>
        <w:rPr>
          <w:i/>
        </w:rPr>
        <w:t xml:space="preserve">Artfaktablad. Naturvård – artfakta. </w:t>
      </w:r>
      <w:r>
        <w:t>SLU Artdatabanken, Uppsala</w:t>
      </w:r>
    </w:p>
    <w:p>
      <w:pPr>
        <w:pStyle w:val="Heading1"/>
      </w:pPr>
      <w:r>
        <w:t>Tjäder – ekologi samt krav på livsmiljön</w:t>
      </w:r>
    </w:p>
    <w:p>
      <w:r>
        <w:t>Tjäder (§4) är en utpräglad skogsfågel knuten till större sammanhängande barrskogsområden. Tupparna och hönorna utnyttjar till viss del olika miljöer, och habitatvalet varierar dessutom mellan olika delar av året. För att det ska finnas livskraftiga tjäderbestånd krävs funktionella skogslandskap med en blandning av uppvuxen, gles och luckig skog, täta sumpskogar, myrar och andra små våtmarker (Skogsstyrelsen, 2019).</w:t>
      </w:r>
    </w:p>
    <w:p>
      <w:r>
        <w:t>Arten försvinner när skogen fragmenteras och den sammanlagda arealen hyggen och andra öppna områden blir för stor. Ett småskaligt och försiktigt virkesuttag genom hyggesfria metoder kan i vissa fall vara möjligt i området inom 200 m från lekcentrum. Längre ut från lekcentrum, inom 200–500 m bör den avverkade ytan inte överskrida 1 hektar för att undvika alltför stora och snabba förändringar (Skogsstyrelsen, 2019).</w:t>
      </w:r>
    </w:p>
    <w:p>
      <w:pPr>
        <w:pStyle w:val="Heading2"/>
      </w:pPr>
      <w:r>
        <w:t>Referenser – tjäder</w:t>
      </w:r>
    </w:p>
    <w:p>
      <w:r>
        <w:t xml:space="preserve">Skogsstyrelsen, 2019. </w:t>
      </w:r>
      <w:r>
        <w:rPr>
          <w:i/>
        </w:rPr>
        <w:t xml:space="preserve">Vägledning för hänsyn till fåglar – tjäder. </w:t>
      </w:r>
      <w:r>
        <w:t>https://www.skogsstyrelsen.se/globalassets/lag-och-tillsyn/artskydd/vagledningar-for-hansyn-till-faglar/tjader-vagledning-hansyn2.pdf</w:t>
      </w:r>
    </w:p>
    <w:p>
      <w:pPr>
        <w:pStyle w:val="Heading1"/>
      </w:pPr>
      <w:r>
        <w:t>Tretåig hackspett – ekologi samt krav på livsmiljön</w:t>
      </w:r>
    </w:p>
    <w:p>
      <w:r>
        <w:t xml:space="preserve">Tretåig hackspett (NT) är fridlyst enligt §4 Artskyddsförordningen och finns med som prioriterad art i Skogsstyrelsen vägledning för skogsbruket (bilaga 4 till SVL). I vägledningen står bland annat att: </w:t>
      </w:r>
      <w:r>
        <w:rPr>
          <w:i/>
        </w:rPr>
        <w:t xml:space="preserve">“Tretåig hackspett har stora arealkrav och höga krav på sin livsmiljö. Omdaningen av naturskogar till kulturskogar medför en förlust av viktiga miljöer, något som förstärks av ökad fragmentering till följd av avverkningar.” </w:t>
      </w:r>
      <w:r>
        <w:t xml:space="preserve">Vidare att: </w:t>
      </w:r>
      <w:r>
        <w:rPr>
          <w:i/>
        </w:rPr>
        <w:t>“Områden med dokumenterad permanent förekomst i naturskogsmiljöer har vanligen så stora naturvärden att skogsbruk är olämpligt”.</w:t>
      </w:r>
    </w:p>
    <w:p>
      <w:r>
        <w:t>Tretåig hackspett är beroende av större sammanhängande naturskogar med kontinuerlig tillgång och nybildning av död ved och fragmentering av livsmiljöerna utgör ett stort hot mot arten (se exempelvis Stachura-Skierczynska et al., 2009; Wesolowski et al., 2005; Butler et al., 2004; Pakkala et al., 2002; Amcoff et al., 1996; Virkkala, 1991). Det finns studier som visar att naturskogens självgallringsprocess som den tretåiga hackspetten är beroende av, inte kan ersättas med efterlämnad hänsyn i skogsbruket (Imbeau &amp; Desrochers, 2002).</w:t>
      </w:r>
    </w:p>
    <w:p>
      <w:r>
        <w:t>Permanenta revir av tretåig hackspett karaktäriseras ofta av artens typiska ringformigt ordnade hackmärken på framför allt gamla granar. För att säkerställa att inte revir av tretåig hackspett drabbas av avverkningsplanerna bör en inventering göras i området både under häckningstid och under vintern, då arten utnyttjar betydligt större områden än under sommarens häckningsrevir. Storleken på häckningsreviret varierar med skogstypen, förekomsten av död ved och graden av fragmentering, men är i allmänhet i storleksordningen 25–100 hektar.</w:t>
      </w:r>
    </w:p>
    <w:p>
      <w:r>
        <w:t>Förutom fridlysning enligt §4 Artskyddsförordningen är tretåig hackspett även förtecknad i EU:s fågeldirektiv bilaga 1. Den ingår också i Natura 2000 och är förtecknad i Bernkonventionen bilaga II (strikt skyddade djurarter).</w:t>
      </w:r>
    </w:p>
    <w:p>
      <w:pPr>
        <w:pStyle w:val="Heading2"/>
      </w:pPr>
      <w:r>
        <w:t>Referenser – tretåig hackspett</w:t>
      </w:r>
    </w:p>
    <w:p>
      <w:r>
        <w:t xml:space="preserve">Amcoff, M. &amp; Eriksson, P. 1996. </w:t>
      </w:r>
      <w:r>
        <w:rPr>
          <w:i/>
        </w:rPr>
        <w:t xml:space="preserve">Förekomst av tretåig hackspett Picoides tridactylus på bestånds- och landskapsnivå. </w:t>
      </w:r>
      <w:r>
        <w:t>Ornis Svecica 6: 107–119</w:t>
      </w:r>
    </w:p>
    <w:p>
      <w:r>
        <w:t xml:space="preserve">Butler, R., Angelstam, P., Ekelund, P. &amp; Schlaeffer, R. 2004. </w:t>
      </w:r>
      <w:r>
        <w:rPr>
          <w:i/>
        </w:rPr>
        <w:t xml:space="preserve">Dead wood threshold values for the three-toed woodpecker presence in boreal and sub-Alpine forest. </w:t>
      </w:r>
      <w:r>
        <w:t>Biological conservation 119(3): 305–318</w:t>
      </w:r>
    </w:p>
    <w:p>
      <w:r>
        <w:t xml:space="preserve">Imbeau, L. &amp; Desrochers, A. 2002. </w:t>
      </w:r>
      <w:r>
        <w:rPr>
          <w:i/>
        </w:rPr>
        <w:t xml:space="preserve">Foraging Ecology and Use of Drumming Trees by Three-Toed Woodpeckers. </w:t>
      </w:r>
      <w:r>
        <w:t>The Journal of Wildlife Management. Vol. 66, No. 1 (Jan., 2002), pp. 222–231.</w:t>
      </w:r>
    </w:p>
    <w:p>
      <w:r>
        <w:t xml:space="preserve">Pakkala, T., Hanski, I. &amp; Tomppo, E. 2002. </w:t>
      </w:r>
      <w:r>
        <w:rPr>
          <w:i/>
        </w:rPr>
        <w:t xml:space="preserve">Spatial ecology of the three-toed woodpecker in managed forest landscapes. </w:t>
      </w:r>
      <w:r>
        <w:t>Silva Fennica 36(1): 279–288.</w:t>
      </w:r>
    </w:p>
    <w:p>
      <w:r>
        <w:t xml:space="preserve">Skogsstyrelsen, 2016. </w:t>
      </w:r>
      <w:r>
        <w:rPr>
          <w:i/>
        </w:rPr>
        <w:t xml:space="preserve">Vägledning för hänsyn till fåglar – Tretåig hackspett. </w:t>
      </w:r>
      <w:r>
        <w:t>www.skogsstyrelsen.se</w:t>
      </w:r>
    </w:p>
    <w:p>
      <w:r>
        <w:t xml:space="preserve">Stachura-Skierczynska, K., Tumiel, T. &amp; Skierczynski, M. 2009. </w:t>
      </w:r>
      <w:r>
        <w:rPr>
          <w:i/>
        </w:rPr>
        <w:t xml:space="preserve">Habitat prediction model for three-toed woodpecker and its implications for the conservation of biologically valuable forests. </w:t>
      </w:r>
      <w:r>
        <w:t>Forest Ecology and Management 258(5): 697–703.</w:t>
      </w:r>
    </w:p>
    <w:p>
      <w:r>
        <w:t xml:space="preserve">Virkkala, R. 1991. </w:t>
      </w:r>
      <w:r>
        <w:rPr>
          <w:i/>
        </w:rPr>
        <w:t xml:space="preserve">Population trends of forest birds in a Finnish Lapland landscape of large habitat blocks – Consequences of stochastic environmental variation or regional habitat alteration. </w:t>
      </w:r>
      <w:r>
        <w:t>Biological conservation 56(2): 223–240</w:t>
      </w:r>
    </w:p>
    <w:p>
      <w:r>
        <w:t xml:space="preserve">Wesolowski, T., Czeszczewik, D. &amp; Rowinski, P. 2005. </w:t>
      </w:r>
      <w:r>
        <w:rPr>
          <w:i/>
        </w:rPr>
        <w:t xml:space="preserve">Effects of forest management on Three-toed Woodpecker Picoides tridactylus distribution in the Bialowieza Forest (NE Poland): conservation implications. </w:t>
      </w:r>
      <w:r>
        <w:t>Acta Ornithologica 40(1): 53–60.</w:t>
      </w:r>
    </w:p>
    <w:sectPr w:rsidR="00CF3394" w:rsidRPr="00065D91" w:rsidSect="00034616">
      <w:headerReference w:type="even" r:id="rId8"/>
      <w:headerReference w:type="default" r:id="rId9"/>
      <w:footerReference w:type="even" r:id="rId10"/>
      <w:footerReference w:type="default" r:id="rId11"/>
      <w:headerReference w:type="first" r:id="rId12"/>
      <w:footerReference w:type="first" r:id="rId13"/>
      <w:pgSz w:w="12240" w:h="15840"/>
      <w:pgMar w:top="1440" w:right="1800" w:bottom="1440" w:left="180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B5939D6" w14:textId="77777777" w:rsidR="006E6E89" w:rsidRDefault="006E6E89" w:rsidP="000942A1">
      <w:pPr>
        <w:spacing w:after="0" w:line="240" w:lineRule="auto"/>
      </w:pPr>
      <w:r>
        <w:separator/>
      </w:r>
    </w:p>
  </w:endnote>
  <w:endnote w:type="continuationSeparator" w:id="0">
    <w:p w14:paraId="4484C549" w14:textId="77777777" w:rsidR="006E6E89" w:rsidRDefault="006E6E89" w:rsidP="000942A1">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ambria">
    <w:panose1 w:val="02040503050406030204"/>
    <w:charset w:val="00"/>
    <w:family w:val="roman"/>
    <w:pitch w:val="variable"/>
    <w:sig w:usb0="E00006FF" w:usb1="420024FF" w:usb2="02000000" w:usb3="00000000" w:csb0="0000019F" w:csb1="00000000"/>
  </w:font>
  <w:font w:name="MS Mincho">
    <w:altName w:val="ＭＳ 明朝"/>
    <w:panose1 w:val="02020609040205080304"/>
    <w:charset w:val="80"/>
    <w:family w:val="modern"/>
    <w:pitch w:val="fixed"/>
    <w:sig w:usb0="E00002FF" w:usb1="6AC7FDFB" w:usb2="08000012" w:usb3="00000000" w:csb0="0002009F" w:csb1="00000000"/>
  </w:font>
  <w:font w:name="MS Gothic">
    <w:altName w:val="ＭＳ ゴシック"/>
    <w:panose1 w:val="020B0609070205080204"/>
    <w:charset w:val="80"/>
    <w:family w:val="modern"/>
    <w:pitch w:val="fixed"/>
    <w:sig w:usb0="E00002FF" w:usb1="6AC7FDFB" w:usb2="08000012" w:usb3="00000000" w:csb0="0002009F" w:csb1="00000000"/>
  </w:font>
  <w:font w:name="Calibri">
    <w:panose1 w:val="020F0502020204030204"/>
    <w:charset w:val="00"/>
    <w:family w:val="swiss"/>
    <w:pitch w:val="variable"/>
    <w:sig w:usb0="E4002EFF" w:usb1="C000247B" w:usb2="00000009" w:usb3="00000000" w:csb0="000001FF" w:csb1="00000000"/>
  </w:font>
  <w:font w:name="Courier">
    <w:panose1 w:val="02070409020205020404"/>
    <w:charset w:val="00"/>
    <w:family w:val="auto"/>
    <w:pitch w:val="variable"/>
    <w:sig w:usb0="00000003" w:usb1="00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69FD72D" w14:textId="77777777" w:rsidR="000942A1" w:rsidRDefault="000942A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5CF6334" w14:textId="77777777" w:rsidR="000942A1" w:rsidRDefault="000942A1">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B072F7" w14:textId="77777777" w:rsidR="000942A1" w:rsidRDefault="000942A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99FCE2B" w14:textId="77777777" w:rsidR="006E6E89" w:rsidRDefault="006E6E89" w:rsidP="000942A1">
      <w:pPr>
        <w:spacing w:after="0" w:line="240" w:lineRule="auto"/>
      </w:pPr>
      <w:r>
        <w:separator/>
      </w:r>
    </w:p>
  </w:footnote>
  <w:footnote w:type="continuationSeparator" w:id="0">
    <w:p w14:paraId="5BF964B5" w14:textId="77777777" w:rsidR="006E6E89" w:rsidRDefault="006E6E89" w:rsidP="000942A1">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D8D2A6C" w14:textId="77777777" w:rsidR="000942A1" w:rsidRDefault="000942A1">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3C8D62" w14:textId="77777777" w:rsidR="000942A1" w:rsidRDefault="000942A1" w:rsidP="000942A1">
    <w:pPr>
      <w:pStyle w:val="Header"/>
      <w:jc w:val="left"/>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42F7434" w14:textId="77777777" w:rsidR="000942A1" w:rsidRDefault="000942A1">
    <w:pPr>
      <w:pStyle w:val="Header"/>
      <w:jc w:val="left"/>
    </w:pPr>
    <w:r>
      <w:tab/>
      <w:tab/>
      <w:t>2025-10-24</w:t>
      <w:br/>
      <w:br/>
    </w:r>
    <w:r>
      <w:t>Till: Skogsstyrelsen</w:t>
      <w:br/>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C310EC42"/>
    <w:lvl w:ilvl="0">
      <w:start w:val="1"/>
      <w:numFmt w:val="decimal"/>
      <w:lvlText w:val="%1."/>
      <w:lvlJc w:val="left"/>
      <w:pPr>
        <w:tabs>
          <w:tab w:val="num" w:pos="1800"/>
        </w:tabs>
        <w:ind w:left="1800" w:hanging="360"/>
      </w:pPr>
    </w:lvl>
  </w:abstractNum>
  <w:abstractNum w:abstractNumId="1" w15:restartNumberingAfterBreak="0">
    <w:nsid w:val="FFFFFF7D"/>
    <w:multiLevelType w:val="singleLevel"/>
    <w:tmpl w:val="E4089024"/>
    <w:lvl w:ilvl="0">
      <w:start w:val="1"/>
      <w:numFmt w:val="decimal"/>
      <w:lvlText w:val="%1."/>
      <w:lvlJc w:val="left"/>
      <w:pPr>
        <w:tabs>
          <w:tab w:val="num" w:pos="1440"/>
        </w:tabs>
        <w:ind w:left="1440" w:hanging="360"/>
      </w:pPr>
    </w:lvl>
  </w:abstractNum>
  <w:abstractNum w:abstractNumId="2" w15:restartNumberingAfterBreak="0">
    <w:nsid w:val="FFFFFF7E"/>
    <w:multiLevelType w:val="singleLevel"/>
    <w:tmpl w:val="FB12693A"/>
    <w:lvl w:ilvl="0">
      <w:start w:val="1"/>
      <w:numFmt w:val="decimal"/>
      <w:pStyle w:val="ListNumber3"/>
      <w:lvlText w:val="%1."/>
      <w:lvlJc w:val="left"/>
      <w:pPr>
        <w:tabs>
          <w:tab w:val="num" w:pos="1080"/>
        </w:tabs>
        <w:ind w:left="1080" w:hanging="360"/>
      </w:pPr>
    </w:lvl>
  </w:abstractNum>
  <w:abstractNum w:abstractNumId="3" w15:restartNumberingAfterBreak="0">
    <w:nsid w:val="FFFFFF7F"/>
    <w:multiLevelType w:val="singleLevel"/>
    <w:tmpl w:val="38441652"/>
    <w:lvl w:ilvl="0">
      <w:start w:val="1"/>
      <w:numFmt w:val="decimal"/>
      <w:pStyle w:val="ListNumber2"/>
      <w:lvlText w:val="%1."/>
      <w:lvlJc w:val="left"/>
      <w:pPr>
        <w:tabs>
          <w:tab w:val="num" w:pos="720"/>
        </w:tabs>
        <w:ind w:left="720" w:hanging="360"/>
      </w:pPr>
    </w:lvl>
  </w:abstractNum>
  <w:abstractNum w:abstractNumId="4" w15:restartNumberingAfterBreak="0">
    <w:nsid w:val="FFFFFF81"/>
    <w:multiLevelType w:val="singleLevel"/>
    <w:tmpl w:val="171AC3A4"/>
    <w:lvl w:ilvl="0">
      <w:start w:val="1"/>
      <w:numFmt w:val="bullet"/>
      <w:lvlText w:val=""/>
      <w:lvlJc w:val="left"/>
      <w:pPr>
        <w:tabs>
          <w:tab w:val="num" w:pos="1440"/>
        </w:tabs>
        <w:ind w:left="1440" w:hanging="360"/>
      </w:pPr>
      <w:rPr>
        <w:rFonts w:ascii="Symbol" w:hAnsi="Symbol" w:hint="default"/>
      </w:rPr>
    </w:lvl>
  </w:abstractNum>
  <w:abstractNum w:abstractNumId="5" w15:restartNumberingAfterBreak="0">
    <w:nsid w:val="FFFFFF82"/>
    <w:multiLevelType w:val="singleLevel"/>
    <w:tmpl w:val="F3EAFDEC"/>
    <w:lvl w:ilvl="0">
      <w:start w:val="1"/>
      <w:numFmt w:val="bullet"/>
      <w:pStyle w:val="ListBullet3"/>
      <w:lvlText w:val=""/>
      <w:lvlJc w:val="left"/>
      <w:pPr>
        <w:tabs>
          <w:tab w:val="num" w:pos="1080"/>
        </w:tabs>
        <w:ind w:left="1080" w:hanging="360"/>
      </w:pPr>
      <w:rPr>
        <w:rFonts w:ascii="Symbol" w:hAnsi="Symbol" w:hint="default"/>
      </w:rPr>
    </w:lvl>
  </w:abstractNum>
  <w:abstractNum w:abstractNumId="6" w15:restartNumberingAfterBreak="0">
    <w:nsid w:val="FFFFFF83"/>
    <w:multiLevelType w:val="singleLevel"/>
    <w:tmpl w:val="3D1EFFD4"/>
    <w:lvl w:ilvl="0">
      <w:start w:val="1"/>
      <w:numFmt w:val="bullet"/>
      <w:pStyle w:val="ListBullet2"/>
      <w:lvlText w:val=""/>
      <w:lvlJc w:val="left"/>
      <w:pPr>
        <w:tabs>
          <w:tab w:val="num" w:pos="720"/>
        </w:tabs>
        <w:ind w:left="720" w:hanging="360"/>
      </w:pPr>
      <w:rPr>
        <w:rFonts w:ascii="Symbol" w:hAnsi="Symbol" w:hint="default"/>
      </w:rPr>
    </w:lvl>
  </w:abstractNum>
  <w:abstractNum w:abstractNumId="7" w15:restartNumberingAfterBreak="0">
    <w:nsid w:val="FFFFFF88"/>
    <w:multiLevelType w:val="singleLevel"/>
    <w:tmpl w:val="D0A62B40"/>
    <w:lvl w:ilvl="0">
      <w:start w:val="1"/>
      <w:numFmt w:val="decimal"/>
      <w:pStyle w:val="ListNumber"/>
      <w:lvlText w:val="%1."/>
      <w:lvlJc w:val="left"/>
      <w:pPr>
        <w:tabs>
          <w:tab w:val="num" w:pos="360"/>
        </w:tabs>
        <w:ind w:left="360" w:hanging="360"/>
      </w:pPr>
    </w:lvl>
  </w:abstractNum>
  <w:abstractNum w:abstractNumId="8" w15:restartNumberingAfterBreak="0">
    <w:nsid w:val="FFFFFF89"/>
    <w:multiLevelType w:val="singleLevel"/>
    <w:tmpl w:val="29761A62"/>
    <w:lvl w:ilvl="0">
      <w:start w:val="1"/>
      <w:numFmt w:val="bullet"/>
      <w:pStyle w:val="ListBullet"/>
      <w:lvlText w:val=""/>
      <w:lvlJc w:val="left"/>
      <w:pPr>
        <w:tabs>
          <w:tab w:val="num" w:pos="360"/>
        </w:tabs>
        <w:ind w:left="360" w:hanging="360"/>
      </w:pPr>
      <w:rPr>
        <w:rFonts w:ascii="Symbol" w:hAnsi="Symbol" w:hint="default"/>
      </w:rPr>
    </w:lvl>
  </w:abstractNum>
  <w:num w:numId="1" w16cid:durableId="1857424081">
    <w:abstractNumId w:val="8"/>
  </w:num>
  <w:num w:numId="2" w16cid:durableId="160244525">
    <w:abstractNumId w:val="6"/>
  </w:num>
  <w:num w:numId="3" w16cid:durableId="1382364049">
    <w:abstractNumId w:val="5"/>
  </w:num>
  <w:num w:numId="4" w16cid:durableId="1374845979">
    <w:abstractNumId w:val="4"/>
  </w:num>
  <w:num w:numId="5" w16cid:durableId="627198427">
    <w:abstractNumId w:val="7"/>
  </w:num>
  <w:num w:numId="6" w16cid:durableId="474952274">
    <w:abstractNumId w:val="3"/>
  </w:num>
  <w:num w:numId="7" w16cid:durableId="881794421">
    <w:abstractNumId w:val="2"/>
  </w:num>
  <w:num w:numId="8" w16cid:durableId="152338385">
    <w:abstractNumId w:val="1"/>
  </w:num>
  <w:num w:numId="9" w16cid:durableId="1506900179">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B47730"/>
    <w:rsid w:val="00034616"/>
    <w:rsid w:val="0006063C"/>
    <w:rsid w:val="00065D91"/>
    <w:rsid w:val="000942A1"/>
    <w:rsid w:val="0015074B"/>
    <w:rsid w:val="0029639D"/>
    <w:rsid w:val="00326F90"/>
    <w:rsid w:val="006E156C"/>
    <w:rsid w:val="006E6E89"/>
    <w:rsid w:val="007106C8"/>
    <w:rsid w:val="00804023"/>
    <w:rsid w:val="00AA10D1"/>
    <w:rsid w:val="00AA1D8D"/>
    <w:rsid w:val="00B47730"/>
    <w:rsid w:val="00CB0664"/>
    <w:rsid w:val="00CF3394"/>
    <w:rsid w:val="00ED360C"/>
    <w:rsid w:val="00FC693F"/>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6"/>
    <o:shapelayout v:ext="edit">
      <o:idmap v:ext="edit" data="1"/>
    </o:shapelayout>
  </w:shapeDefaults>
  <w:decimalSymbol w:val=","/>
  <w:listSeparator w:val=";"/>
  <w14:docId w14:val="55B208E3"/>
  <w14:defaultImageDpi w14:val="300"/>
  <w15:docId w15:val="{ED4CC3EB-CE4E-4FB6-B443-E75F4903316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sv-SE"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106C8"/>
    <w:pPr>
      <w:jc w:val="both"/>
    </w:pPr>
    <w:rPr>
      <w:rFonts w:ascii="Times New Roman" w:hAnsi="Times New Roman"/>
      <w:lang w:val="sv-SE" w:eastAsia="en-US" w:bidi="ar-SA"/>
    </w:rPr>
  </w:style>
  <w:style w:type="paragraph" w:styleId="Heading1">
    <w:name w:val="heading 1"/>
    <w:basedOn w:val="Normal"/>
    <w:next w:val="Normal"/>
    <w:link w:val="Heading1Char"/>
    <w:uiPriority w:val="9"/>
    <w:qFormat/>
    <w:rsid w:val="006E156C"/>
    <w:pPr>
      <w:keepNext/>
      <w:keepLines/>
      <w:spacing w:before="480" w:after="0"/>
      <w:outlineLvl w:val="0"/>
    </w:pPr>
    <w:rPr>
      <w:rFonts w:eastAsiaTheme="majorEastAsia" w:cstheme="majorBidi"/>
      <w:bCs/>
      <w:sz w:val="32"/>
      <w:szCs w:val="28"/>
      <w:lang w:val="sv-SE" w:eastAsia="en-US" w:bidi="ar-SA"/>
    </w:rPr>
  </w:style>
  <w:style w:type="paragraph" w:styleId="Heading2">
    <w:name w:val="heading 2"/>
    <w:basedOn w:val="Normal"/>
    <w:next w:val="Normal"/>
    <w:link w:val="Heading2Char"/>
    <w:uiPriority w:val="9"/>
    <w:unhideWhenUsed/>
    <w:qFormat/>
    <w:rsid w:val="007106C8"/>
    <w:pPr>
      <w:keepNext/>
      <w:keepLines/>
      <w:spacing w:before="200" w:after="0"/>
      <w:outlineLvl w:val="1"/>
    </w:pPr>
    <w:rPr>
      <w:rFonts w:eastAsiaTheme="majorEastAsia" w:cstheme="majorBidi"/>
      <w:bCs/>
      <w:sz w:val="28"/>
      <w:szCs w:val="26"/>
      <w:lang w:val="sv-SE" w:eastAsia="en-US" w:bidi="ar-SA"/>
    </w:rPr>
  </w:style>
  <w:style w:type="paragraph" w:styleId="Heading3">
    <w:name w:val="heading 3"/>
    <w:basedOn w:val="Normal"/>
    <w:next w:val="Normal"/>
    <w:link w:val="Heading3Char"/>
    <w:uiPriority w:val="9"/>
    <w:unhideWhenUsed/>
    <w:qFormat/>
    <w:rsid w:val="007106C8"/>
    <w:pPr>
      <w:keepNext/>
      <w:keepLines/>
      <w:spacing w:before="200" w:after="0"/>
      <w:outlineLvl w:val="2"/>
    </w:pPr>
    <w:rPr>
      <w:rFonts w:eastAsiaTheme="majorEastAsia" w:cstheme="majorBidi"/>
      <w:bCs/>
      <w:sz w:val="24"/>
      <w:lang w:val="sv-SE" w:eastAsia="en-US" w:bidi="ar-SA"/>
    </w:rPr>
  </w:style>
  <w:style w:type="paragraph" w:styleId="Heading4">
    <w:name w:val="heading 4"/>
    <w:basedOn w:val="Normal"/>
    <w:next w:val="Normal"/>
    <w:link w:val="Heading4Char"/>
    <w:uiPriority w:val="9"/>
    <w:unhideWhenUsed/>
    <w:qFormat/>
    <w:rsid w:val="007106C8"/>
    <w:pPr>
      <w:keepNext/>
      <w:keepLines/>
      <w:spacing w:before="200" w:after="0"/>
      <w:outlineLvl w:val="3"/>
    </w:pPr>
    <w:rPr>
      <w:rFonts w:eastAsiaTheme="majorEastAsia" w:cstheme="majorBidi"/>
      <w:bCs/>
      <w:iCs/>
      <w:lang w:val="sv-SE" w:eastAsia="en-US" w:bidi="ar-SA"/>
    </w:rPr>
  </w:style>
  <w:style w:type="paragraph" w:styleId="Heading5">
    <w:name w:val="heading 5"/>
    <w:basedOn w:val="Normal"/>
    <w:next w:val="Normal"/>
    <w:link w:val="Heading5Char"/>
    <w:uiPriority w:val="9"/>
    <w:semiHidden/>
    <w:unhideWhenUsed/>
    <w:qFormat/>
    <w:rsid w:val="00FC693F"/>
    <w:pPr>
      <w:keepNext/>
      <w:keepLines/>
      <w:spacing w:before="200" w:after="0"/>
      <w:outlineLvl w:val="4"/>
    </w:pPr>
    <w:rPr>
      <w:rFonts w:asciiTheme="majorHAnsi" w:eastAsiaTheme="majorEastAsia" w:hAnsiTheme="majorHAnsi" w:cstheme="majorBidi"/>
      <w:color w:val="243F60" w:themeColor="accent1" w:themeShade="7F"/>
      <w:lang w:val="sv-SE" w:eastAsia="en-US" w:bidi="ar-SA"/>
    </w:rPr>
  </w:style>
  <w:style w:type="paragraph" w:styleId="Heading6">
    <w:name w:val="heading 6"/>
    <w:basedOn w:val="Normal"/>
    <w:next w:val="Normal"/>
    <w:link w:val="Heading6Char"/>
    <w:uiPriority w:val="9"/>
    <w:semiHidden/>
    <w:unhideWhenUsed/>
    <w:qFormat/>
    <w:rsid w:val="00FC693F"/>
    <w:pPr>
      <w:keepNext/>
      <w:keepLines/>
      <w:spacing w:before="200" w:after="0"/>
      <w:outlineLvl w:val="5"/>
    </w:pPr>
    <w:rPr>
      <w:rFonts w:asciiTheme="majorHAnsi" w:eastAsiaTheme="majorEastAsia" w:hAnsiTheme="majorHAnsi" w:cstheme="majorBidi"/>
      <w:i/>
      <w:iCs/>
      <w:color w:val="243F60" w:themeColor="accent1" w:themeShade="7F"/>
      <w:lang w:val="sv-SE" w:eastAsia="en-US" w:bidi="ar-SA"/>
    </w:rPr>
  </w:style>
  <w:style w:type="paragraph" w:styleId="Heading7">
    <w:name w:val="heading 7"/>
    <w:basedOn w:val="Normal"/>
    <w:next w:val="Normal"/>
    <w:link w:val="Heading7Char"/>
    <w:uiPriority w:val="9"/>
    <w:semiHidden/>
    <w:unhideWhenUsed/>
    <w:qFormat/>
    <w:rsid w:val="00FC693F"/>
    <w:pPr>
      <w:keepNext/>
      <w:keepLines/>
      <w:spacing w:before="200" w:after="0"/>
      <w:outlineLvl w:val="6"/>
    </w:pPr>
    <w:rPr>
      <w:rFonts w:asciiTheme="majorHAnsi" w:eastAsiaTheme="majorEastAsia" w:hAnsiTheme="majorHAnsi" w:cstheme="majorBidi"/>
      <w:i/>
      <w:iCs/>
      <w:color w:val="404040" w:themeColor="text1" w:themeTint="BF"/>
      <w:lang w:val="sv-SE" w:eastAsia="en-US" w:bidi="ar-SA"/>
    </w:rPr>
  </w:style>
  <w:style w:type="paragraph" w:styleId="Heading8">
    <w:name w:val="heading 8"/>
    <w:basedOn w:val="Normal"/>
    <w:next w:val="Normal"/>
    <w:link w:val="Heading8Char"/>
    <w:uiPriority w:val="9"/>
    <w:semiHidden/>
    <w:unhideWhenUsed/>
    <w:qFormat/>
    <w:rsid w:val="00FC693F"/>
    <w:pPr>
      <w:keepNext/>
      <w:keepLines/>
      <w:spacing w:before="200" w:after="0"/>
      <w:outlineLvl w:val="7"/>
    </w:pPr>
    <w:rPr>
      <w:rFonts w:asciiTheme="majorHAnsi" w:eastAsiaTheme="majorEastAsia" w:hAnsiTheme="majorHAnsi" w:cstheme="majorBidi"/>
      <w:color w:val="4F81BD" w:themeColor="accent1"/>
      <w:sz w:val="20"/>
      <w:szCs w:val="20"/>
      <w:lang w:val="sv-SE" w:eastAsia="en-US" w:bidi="ar-SA"/>
    </w:rPr>
  </w:style>
  <w:style w:type="paragraph" w:styleId="Heading9">
    <w:name w:val="heading 9"/>
    <w:basedOn w:val="Normal"/>
    <w:next w:val="Normal"/>
    <w:link w:val="Heading9Char"/>
    <w:uiPriority w:val="9"/>
    <w:semiHidden/>
    <w:unhideWhenUsed/>
    <w:qFormat/>
    <w:rsid w:val="00FC693F"/>
    <w:pPr>
      <w:keepNext/>
      <w:keepLines/>
      <w:spacing w:before="200" w:after="0"/>
      <w:outlineLvl w:val="8"/>
    </w:pPr>
    <w:rPr>
      <w:rFonts w:asciiTheme="majorHAnsi" w:eastAsiaTheme="majorEastAsia" w:hAnsiTheme="majorHAnsi" w:cstheme="majorBidi"/>
      <w:i/>
      <w:iCs/>
      <w:color w:val="404040" w:themeColor="text1" w:themeTint="BF"/>
      <w:sz w:val="20"/>
      <w:szCs w:val="20"/>
      <w:lang w:val="sv-SE" w:eastAsia="en-US" w:bidi="ar-SA"/>
    </w:rPr>
  </w:style>
  <w:style w:type="character" w:default="1" w:styleId="DefaultParagraphFont">
    <w:name w:val="Default Paragraph Font"/>
    <w:uiPriority w:val="1"/>
    <w:semiHidden/>
    <w:unhideWhenUsed/>
    <w:rPr>
      <w:lang w:val="sv-SE" w:eastAsia="en-US" w:bidi="ar-SA"/>
    </w:rPr>
  </w:style>
  <w:style w:type="table" w:default="1" w:styleId="TableNormal">
    <w:name w:val="Normal Table"/>
    <w:uiPriority w:val="99"/>
    <w:semiHidden/>
    <w:unhideWhenUsed/>
    <w:rPr>
      <w:lang w:val="sv-SE" w:eastAsia="en-US" w:bidi="ar-SA"/>
    </w:rPr>
    <w:tblPr>
      <w:tblInd w:w="0" w:type="dxa"/>
      <w:tblCellMar>
        <w:top w:w="0" w:type="dxa"/>
        <w:left w:w="108" w:type="dxa"/>
        <w:bottom w:w="0" w:type="dxa"/>
        <w:right w:w="108" w:type="dxa"/>
      </w:tblCellMar>
    </w:tblPr>
  </w:style>
  <w:style w:type="numbering" w:default="1" w:styleId="NoList">
    <w:name w:val="No List"/>
    <w:uiPriority w:val="99"/>
    <w:semiHidden/>
    <w:unhideWhenUsed/>
    <w:rPr>
      <w:lang w:val="sv-SE" w:eastAsia="en-US" w:bidi="ar-SA"/>
    </w:rPr>
  </w:style>
  <w:style w:type="paragraph" w:styleId="Header">
    <w:name w:val="header"/>
    <w:basedOn w:val="Normal"/>
    <w:link w:val="HeaderChar"/>
    <w:uiPriority w:val="99"/>
    <w:unhideWhenUsed/>
    <w:rsid w:val="00E618BF"/>
    <w:pPr>
      <w:tabs>
        <w:tab w:val="center" w:pos="4680"/>
        <w:tab w:val="right" w:pos="9360"/>
      </w:tabs>
      <w:spacing w:after="0" w:line="240" w:lineRule="auto"/>
    </w:pPr>
    <w:rPr>
      <w:lang w:val="sv-SE" w:eastAsia="en-US" w:bidi="ar-SA"/>
    </w:rPr>
  </w:style>
  <w:style w:type="character" w:customStyle="1" w:styleId="HeaderChar">
    <w:name w:val="Header Char"/>
    <w:basedOn w:val="DefaultParagraphFont"/>
    <w:link w:val="Header"/>
    <w:uiPriority w:val="99"/>
    <w:rsid w:val="00E618BF"/>
    <w:rPr>
      <w:lang w:val="sv-SE" w:eastAsia="en-US" w:bidi="ar-SA"/>
    </w:rPr>
  </w:style>
  <w:style w:type="paragraph" w:styleId="Footer">
    <w:name w:val="footer"/>
    <w:basedOn w:val="Normal"/>
    <w:link w:val="FooterChar"/>
    <w:uiPriority w:val="99"/>
    <w:unhideWhenUsed/>
    <w:rsid w:val="00E618BF"/>
    <w:pPr>
      <w:tabs>
        <w:tab w:val="center" w:pos="4680"/>
        <w:tab w:val="right" w:pos="9360"/>
      </w:tabs>
      <w:spacing w:after="0" w:line="240" w:lineRule="auto"/>
    </w:pPr>
    <w:rPr>
      <w:lang w:val="sv-SE" w:eastAsia="en-US" w:bidi="ar-SA"/>
    </w:rPr>
  </w:style>
  <w:style w:type="character" w:customStyle="1" w:styleId="FooterChar">
    <w:name w:val="Footer Char"/>
    <w:basedOn w:val="DefaultParagraphFont"/>
    <w:link w:val="Footer"/>
    <w:uiPriority w:val="99"/>
    <w:rsid w:val="00E618BF"/>
    <w:rPr>
      <w:lang w:val="sv-SE" w:eastAsia="en-US" w:bidi="ar-SA"/>
    </w:rPr>
  </w:style>
  <w:style w:type="paragraph" w:styleId="NoSpacing">
    <w:name w:val="No Spacing"/>
    <w:uiPriority w:val="1"/>
    <w:qFormat/>
    <w:rsid w:val="00FC693F"/>
    <w:pPr>
      <w:spacing w:after="0" w:line="240" w:lineRule="auto"/>
    </w:pPr>
    <w:rPr>
      <w:lang w:val="sv-SE" w:eastAsia="en-US" w:bidi="ar-SA"/>
    </w:rPr>
  </w:style>
  <w:style w:type="character" w:customStyle="1" w:styleId="Heading1Char">
    <w:name w:val="Heading 1 Char"/>
    <w:basedOn w:val="DefaultParagraphFont"/>
    <w:link w:val="Heading1"/>
    <w:uiPriority w:val="9"/>
    <w:rsid w:val="006E156C"/>
    <w:rPr>
      <w:rFonts w:ascii="Times New Roman" w:eastAsiaTheme="majorEastAsia" w:hAnsi="Times New Roman" w:cstheme="majorBidi"/>
      <w:bCs/>
      <w:sz w:val="32"/>
      <w:szCs w:val="28"/>
      <w:lang w:val="sv-SE" w:eastAsia="en-US" w:bidi="ar-SA"/>
    </w:rPr>
  </w:style>
  <w:style w:type="character" w:customStyle="1" w:styleId="Heading2Char">
    <w:name w:val="Heading 2 Char"/>
    <w:basedOn w:val="DefaultParagraphFont"/>
    <w:link w:val="Heading2"/>
    <w:uiPriority w:val="9"/>
    <w:rsid w:val="007106C8"/>
    <w:rPr>
      <w:rFonts w:ascii="Times New Roman" w:eastAsiaTheme="majorEastAsia" w:hAnsi="Times New Roman" w:cstheme="majorBidi"/>
      <w:bCs/>
      <w:sz w:val="28"/>
      <w:szCs w:val="26"/>
      <w:lang w:val="sv-SE" w:eastAsia="en-US" w:bidi="ar-SA"/>
    </w:rPr>
  </w:style>
  <w:style w:type="character" w:customStyle="1" w:styleId="Heading3Char">
    <w:name w:val="Heading 3 Char"/>
    <w:basedOn w:val="DefaultParagraphFont"/>
    <w:link w:val="Heading3"/>
    <w:uiPriority w:val="9"/>
    <w:rsid w:val="007106C8"/>
    <w:rPr>
      <w:rFonts w:ascii="Times New Roman" w:eastAsiaTheme="majorEastAsia" w:hAnsi="Times New Roman" w:cstheme="majorBidi"/>
      <w:bCs/>
      <w:sz w:val="24"/>
      <w:lang w:val="sv-SE" w:eastAsia="en-US" w:bidi="ar-SA"/>
    </w:rPr>
  </w:style>
  <w:style w:type="paragraph" w:styleId="Title">
    <w:name w:val="Title"/>
    <w:basedOn w:val="Normal"/>
    <w:next w:val="Normal"/>
    <w:link w:val="TitleChar"/>
    <w:uiPriority w:val="10"/>
    <w:qFormat/>
    <w:rsid w:val="007106C8"/>
    <w:pPr>
      <w:spacing w:after="300" w:line="240" w:lineRule="auto"/>
      <w:contextualSpacing/>
      <w:jc w:val="center"/>
    </w:pPr>
    <w:rPr>
      <w:rFonts w:eastAsiaTheme="majorEastAsia" w:cstheme="majorBidi"/>
      <w:spacing w:val="5"/>
      <w:kern w:val="28"/>
      <w:sz w:val="52"/>
      <w:szCs w:val="52"/>
      <w:lang w:val="sv-SE" w:eastAsia="en-US" w:bidi="ar-SA"/>
    </w:rPr>
  </w:style>
  <w:style w:type="character" w:customStyle="1" w:styleId="TitleChar">
    <w:name w:val="Title Char"/>
    <w:basedOn w:val="DefaultParagraphFont"/>
    <w:link w:val="Title"/>
    <w:uiPriority w:val="10"/>
    <w:rsid w:val="007106C8"/>
    <w:rPr>
      <w:rFonts w:ascii="Times New Roman" w:eastAsiaTheme="majorEastAsia" w:hAnsi="Times New Roman" w:cstheme="majorBidi"/>
      <w:spacing w:val="5"/>
      <w:kern w:val="28"/>
      <w:sz w:val="52"/>
      <w:szCs w:val="52"/>
      <w:lang w:val="sv-SE" w:eastAsia="en-US" w:bidi="ar-SA"/>
    </w:rPr>
  </w:style>
  <w:style w:type="paragraph" w:styleId="Subtitle">
    <w:name w:val="Subtitle"/>
    <w:basedOn w:val="Normal"/>
    <w:next w:val="Normal"/>
    <w:link w:val="SubtitleChar"/>
    <w:uiPriority w:val="11"/>
    <w:qFormat/>
    <w:rsid w:val="00FC693F"/>
    <w:pPr>
      <w:numPr>
        <w:ilvl w:val="1"/>
      </w:numPr>
    </w:pPr>
    <w:rPr>
      <w:rFonts w:asciiTheme="majorHAnsi" w:eastAsiaTheme="majorEastAsia" w:hAnsiTheme="majorHAnsi" w:cstheme="majorBidi"/>
      <w:i/>
      <w:iCs/>
      <w:color w:val="4F81BD" w:themeColor="accent1"/>
      <w:spacing w:val="15"/>
      <w:sz w:val="24"/>
      <w:szCs w:val="24"/>
      <w:lang w:val="sv-SE" w:eastAsia="en-US" w:bidi="ar-SA"/>
    </w:rPr>
  </w:style>
  <w:style w:type="character" w:customStyle="1" w:styleId="SubtitleChar">
    <w:name w:val="Subtitle Char"/>
    <w:basedOn w:val="DefaultParagraphFont"/>
    <w:link w:val="Subtitle"/>
    <w:uiPriority w:val="11"/>
    <w:rsid w:val="00FC693F"/>
    <w:rPr>
      <w:rFonts w:asciiTheme="majorHAnsi" w:eastAsiaTheme="majorEastAsia" w:hAnsiTheme="majorHAnsi" w:cstheme="majorBidi"/>
      <w:i/>
      <w:iCs/>
      <w:color w:val="4F81BD" w:themeColor="accent1"/>
      <w:spacing w:val="15"/>
      <w:sz w:val="24"/>
      <w:szCs w:val="24"/>
      <w:lang w:val="sv-SE" w:eastAsia="en-US" w:bidi="ar-SA"/>
    </w:rPr>
  </w:style>
  <w:style w:type="paragraph" w:styleId="ListParagraph">
    <w:name w:val="List Paragraph"/>
    <w:basedOn w:val="Normal"/>
    <w:uiPriority w:val="34"/>
    <w:qFormat/>
    <w:rsid w:val="00FC693F"/>
    <w:pPr>
      <w:ind w:left="720"/>
      <w:contextualSpacing/>
    </w:pPr>
    <w:rPr>
      <w:lang w:val="sv-SE" w:eastAsia="en-US" w:bidi="ar-SA"/>
    </w:rPr>
  </w:style>
  <w:style w:type="paragraph" w:styleId="BodyText">
    <w:name w:val="Body Text"/>
    <w:basedOn w:val="Normal"/>
    <w:link w:val="BodyTextChar"/>
    <w:uiPriority w:val="99"/>
    <w:unhideWhenUsed/>
    <w:rsid w:val="00AA1D8D"/>
    <w:pPr>
      <w:spacing w:after="120"/>
    </w:pPr>
    <w:rPr>
      <w:lang w:val="sv-SE" w:eastAsia="en-US" w:bidi="ar-SA"/>
    </w:rPr>
  </w:style>
  <w:style w:type="character" w:customStyle="1" w:styleId="BodyTextChar">
    <w:name w:val="Body Text Char"/>
    <w:basedOn w:val="DefaultParagraphFont"/>
    <w:link w:val="BodyText"/>
    <w:uiPriority w:val="99"/>
    <w:rsid w:val="00AA1D8D"/>
    <w:rPr>
      <w:lang w:val="sv-SE" w:eastAsia="en-US" w:bidi="ar-SA"/>
    </w:rPr>
  </w:style>
  <w:style w:type="paragraph" w:styleId="BodyText2">
    <w:name w:val="Body Text 2"/>
    <w:basedOn w:val="Normal"/>
    <w:link w:val="BodyText2Char"/>
    <w:uiPriority w:val="99"/>
    <w:unhideWhenUsed/>
    <w:rsid w:val="00AA1D8D"/>
    <w:pPr>
      <w:spacing w:after="120" w:line="480" w:lineRule="auto"/>
    </w:pPr>
    <w:rPr>
      <w:lang w:val="sv-SE" w:eastAsia="en-US" w:bidi="ar-SA"/>
    </w:rPr>
  </w:style>
  <w:style w:type="character" w:customStyle="1" w:styleId="BodyText2Char">
    <w:name w:val="Body Text 2 Char"/>
    <w:basedOn w:val="DefaultParagraphFont"/>
    <w:link w:val="BodyText2"/>
    <w:uiPriority w:val="99"/>
    <w:rsid w:val="00AA1D8D"/>
    <w:rPr>
      <w:lang w:val="sv-SE" w:eastAsia="en-US" w:bidi="ar-SA"/>
    </w:rPr>
  </w:style>
  <w:style w:type="paragraph" w:styleId="BodyText3">
    <w:name w:val="Body Text 3"/>
    <w:basedOn w:val="Normal"/>
    <w:link w:val="BodyText3Char"/>
    <w:uiPriority w:val="99"/>
    <w:unhideWhenUsed/>
    <w:rsid w:val="00AA1D8D"/>
    <w:pPr>
      <w:spacing w:after="120"/>
    </w:pPr>
    <w:rPr>
      <w:sz w:val="16"/>
      <w:szCs w:val="16"/>
      <w:lang w:val="sv-SE" w:eastAsia="en-US" w:bidi="ar-SA"/>
    </w:rPr>
  </w:style>
  <w:style w:type="character" w:customStyle="1" w:styleId="BodyText3Char">
    <w:name w:val="Body Text 3 Char"/>
    <w:basedOn w:val="DefaultParagraphFont"/>
    <w:link w:val="BodyText3"/>
    <w:uiPriority w:val="99"/>
    <w:rsid w:val="00AA1D8D"/>
    <w:rPr>
      <w:sz w:val="16"/>
      <w:szCs w:val="16"/>
      <w:lang w:val="sv-SE" w:eastAsia="en-US" w:bidi="ar-SA"/>
    </w:rPr>
  </w:style>
  <w:style w:type="paragraph" w:styleId="List">
    <w:name w:val="List"/>
    <w:basedOn w:val="Normal"/>
    <w:uiPriority w:val="99"/>
    <w:unhideWhenUsed/>
    <w:rsid w:val="00AA1D8D"/>
    <w:pPr>
      <w:ind w:left="360" w:hanging="360"/>
      <w:contextualSpacing/>
    </w:pPr>
    <w:rPr>
      <w:lang w:val="sv-SE" w:eastAsia="en-US" w:bidi="ar-SA"/>
    </w:rPr>
  </w:style>
  <w:style w:type="paragraph" w:styleId="List2">
    <w:name w:val="List 2"/>
    <w:basedOn w:val="Normal"/>
    <w:uiPriority w:val="99"/>
    <w:unhideWhenUsed/>
    <w:rsid w:val="00326F90"/>
    <w:pPr>
      <w:ind w:left="720" w:hanging="360"/>
      <w:contextualSpacing/>
    </w:pPr>
    <w:rPr>
      <w:lang w:val="sv-SE" w:eastAsia="en-US" w:bidi="ar-SA"/>
    </w:rPr>
  </w:style>
  <w:style w:type="paragraph" w:styleId="List3">
    <w:name w:val="List 3"/>
    <w:basedOn w:val="Normal"/>
    <w:uiPriority w:val="99"/>
    <w:unhideWhenUsed/>
    <w:rsid w:val="00326F90"/>
    <w:pPr>
      <w:ind w:left="1080" w:hanging="360"/>
      <w:contextualSpacing/>
    </w:pPr>
    <w:rPr>
      <w:lang w:val="sv-SE" w:eastAsia="en-US" w:bidi="ar-SA"/>
    </w:rPr>
  </w:style>
  <w:style w:type="paragraph" w:styleId="ListBullet">
    <w:name w:val="List Bullet"/>
    <w:basedOn w:val="Normal"/>
    <w:uiPriority w:val="99"/>
    <w:unhideWhenUsed/>
    <w:rsid w:val="00326F90"/>
    <w:pPr>
      <w:numPr>
        <w:numId w:val="1"/>
      </w:numPr>
      <w:contextualSpacing/>
    </w:pPr>
    <w:rPr>
      <w:lang w:val="sv-SE" w:eastAsia="en-US" w:bidi="ar-SA"/>
    </w:rPr>
  </w:style>
  <w:style w:type="paragraph" w:styleId="ListBullet2">
    <w:name w:val="List Bullet 2"/>
    <w:basedOn w:val="Normal"/>
    <w:uiPriority w:val="99"/>
    <w:unhideWhenUsed/>
    <w:rsid w:val="00326F90"/>
    <w:pPr>
      <w:numPr>
        <w:numId w:val="2"/>
      </w:numPr>
      <w:contextualSpacing/>
    </w:pPr>
    <w:rPr>
      <w:lang w:val="sv-SE" w:eastAsia="en-US" w:bidi="ar-SA"/>
    </w:rPr>
  </w:style>
  <w:style w:type="paragraph" w:styleId="ListBullet3">
    <w:name w:val="List Bullet 3"/>
    <w:basedOn w:val="Normal"/>
    <w:uiPriority w:val="99"/>
    <w:unhideWhenUsed/>
    <w:rsid w:val="00326F90"/>
    <w:pPr>
      <w:numPr>
        <w:numId w:val="3"/>
      </w:numPr>
      <w:contextualSpacing/>
    </w:pPr>
    <w:rPr>
      <w:lang w:val="sv-SE" w:eastAsia="en-US" w:bidi="ar-SA"/>
    </w:rPr>
  </w:style>
  <w:style w:type="paragraph" w:styleId="ListNumber">
    <w:name w:val="List Number"/>
    <w:basedOn w:val="Normal"/>
    <w:uiPriority w:val="99"/>
    <w:unhideWhenUsed/>
    <w:rsid w:val="00326F90"/>
    <w:pPr>
      <w:numPr>
        <w:numId w:val="5"/>
      </w:numPr>
      <w:contextualSpacing/>
    </w:pPr>
    <w:rPr>
      <w:lang w:val="sv-SE" w:eastAsia="en-US" w:bidi="ar-SA"/>
    </w:rPr>
  </w:style>
  <w:style w:type="paragraph" w:styleId="ListNumber2">
    <w:name w:val="List Number 2"/>
    <w:basedOn w:val="Normal"/>
    <w:uiPriority w:val="99"/>
    <w:unhideWhenUsed/>
    <w:rsid w:val="0029639D"/>
    <w:pPr>
      <w:numPr>
        <w:numId w:val="6"/>
      </w:numPr>
      <w:contextualSpacing/>
    </w:pPr>
    <w:rPr>
      <w:lang w:val="sv-SE" w:eastAsia="en-US" w:bidi="ar-SA"/>
    </w:rPr>
  </w:style>
  <w:style w:type="paragraph" w:styleId="ListNumber3">
    <w:name w:val="List Number 3"/>
    <w:basedOn w:val="Normal"/>
    <w:uiPriority w:val="99"/>
    <w:unhideWhenUsed/>
    <w:rsid w:val="0029639D"/>
    <w:pPr>
      <w:numPr>
        <w:numId w:val="7"/>
      </w:numPr>
      <w:contextualSpacing/>
    </w:pPr>
    <w:rPr>
      <w:lang w:val="sv-SE" w:eastAsia="en-US" w:bidi="ar-SA"/>
    </w:rPr>
  </w:style>
  <w:style w:type="paragraph" w:styleId="ListContinue">
    <w:name w:val="List Continue"/>
    <w:basedOn w:val="Normal"/>
    <w:uiPriority w:val="99"/>
    <w:unhideWhenUsed/>
    <w:rsid w:val="0029639D"/>
    <w:pPr>
      <w:spacing w:after="120"/>
      <w:ind w:left="360"/>
      <w:contextualSpacing/>
    </w:pPr>
    <w:rPr>
      <w:lang w:val="sv-SE" w:eastAsia="en-US" w:bidi="ar-SA"/>
    </w:rPr>
  </w:style>
  <w:style w:type="paragraph" w:styleId="ListContinue2">
    <w:name w:val="List Continue 2"/>
    <w:basedOn w:val="Normal"/>
    <w:uiPriority w:val="99"/>
    <w:unhideWhenUsed/>
    <w:rsid w:val="0029639D"/>
    <w:pPr>
      <w:spacing w:after="120"/>
      <w:ind w:left="720"/>
      <w:contextualSpacing/>
    </w:pPr>
    <w:rPr>
      <w:lang w:val="sv-SE" w:eastAsia="en-US" w:bidi="ar-SA"/>
    </w:rPr>
  </w:style>
  <w:style w:type="paragraph" w:styleId="ListContinue3">
    <w:name w:val="List Continue 3"/>
    <w:basedOn w:val="Normal"/>
    <w:uiPriority w:val="99"/>
    <w:unhideWhenUsed/>
    <w:rsid w:val="0029639D"/>
    <w:pPr>
      <w:spacing w:after="120"/>
      <w:ind w:left="1080"/>
      <w:contextualSpacing/>
    </w:pPr>
    <w:rPr>
      <w:lang w:val="sv-SE" w:eastAsia="en-US" w:bidi="ar-SA"/>
    </w:rPr>
  </w:style>
  <w:style w:type="paragraph" w:styleId="MacroText">
    <w:name w:val="macro"/>
    <w:link w:val="MacroTextChar"/>
    <w:uiPriority w:val="99"/>
    <w:unhideWhenUsed/>
    <w:rsid w:val="0029639D"/>
    <w:pPr>
      <w:tabs>
        <w:tab w:val="left" w:pos="576"/>
        <w:tab w:val="left" w:pos="1152"/>
        <w:tab w:val="left" w:pos="1728"/>
        <w:tab w:val="left" w:pos="2304"/>
        <w:tab w:val="left" w:pos="2880"/>
        <w:tab w:val="left" w:pos="3456"/>
        <w:tab w:val="left" w:pos="4032"/>
      </w:tabs>
    </w:pPr>
    <w:rPr>
      <w:rFonts w:ascii="Courier" w:hAnsi="Courier"/>
      <w:sz w:val="20"/>
      <w:szCs w:val="20"/>
      <w:lang w:val="sv-SE" w:eastAsia="en-US" w:bidi="ar-SA"/>
    </w:rPr>
  </w:style>
  <w:style w:type="character" w:customStyle="1" w:styleId="MacroTextChar">
    <w:name w:val="Macro Text Char"/>
    <w:basedOn w:val="DefaultParagraphFont"/>
    <w:link w:val="MacroText"/>
    <w:uiPriority w:val="99"/>
    <w:rsid w:val="0029639D"/>
    <w:rPr>
      <w:rFonts w:ascii="Courier" w:hAnsi="Courier"/>
      <w:sz w:val="20"/>
      <w:szCs w:val="20"/>
      <w:lang w:val="sv-SE" w:eastAsia="en-US" w:bidi="ar-SA"/>
    </w:rPr>
  </w:style>
  <w:style w:type="paragraph" w:styleId="Quote">
    <w:name w:val="Quote"/>
    <w:basedOn w:val="Normal"/>
    <w:next w:val="Normal"/>
    <w:link w:val="QuoteChar"/>
    <w:uiPriority w:val="29"/>
    <w:qFormat/>
    <w:rsid w:val="00FC693F"/>
    <w:rPr>
      <w:i/>
      <w:iCs/>
      <w:color w:val="000000" w:themeColor="text1"/>
      <w:lang w:val="sv-SE" w:eastAsia="en-US" w:bidi="ar-SA"/>
    </w:rPr>
  </w:style>
  <w:style w:type="character" w:customStyle="1" w:styleId="QuoteChar">
    <w:name w:val="Quote Char"/>
    <w:basedOn w:val="DefaultParagraphFont"/>
    <w:link w:val="Quote"/>
    <w:uiPriority w:val="29"/>
    <w:rsid w:val="00FC693F"/>
    <w:rPr>
      <w:i/>
      <w:iCs/>
      <w:color w:val="000000" w:themeColor="text1"/>
      <w:lang w:val="sv-SE" w:eastAsia="en-US" w:bidi="ar-SA"/>
    </w:rPr>
  </w:style>
  <w:style w:type="character" w:customStyle="1" w:styleId="Heading4Char">
    <w:name w:val="Heading 4 Char"/>
    <w:basedOn w:val="DefaultParagraphFont"/>
    <w:link w:val="Heading4"/>
    <w:uiPriority w:val="9"/>
    <w:rsid w:val="007106C8"/>
    <w:rPr>
      <w:rFonts w:ascii="Times New Roman" w:eastAsiaTheme="majorEastAsia" w:hAnsi="Times New Roman" w:cstheme="majorBidi"/>
      <w:bCs/>
      <w:iCs/>
      <w:lang w:val="sv-SE" w:eastAsia="en-US" w:bidi="ar-SA"/>
    </w:rPr>
  </w:style>
  <w:style w:type="character" w:customStyle="1" w:styleId="Heading5Char">
    <w:name w:val="Heading 5 Char"/>
    <w:basedOn w:val="DefaultParagraphFont"/>
    <w:link w:val="Heading5"/>
    <w:uiPriority w:val="9"/>
    <w:semiHidden/>
    <w:rsid w:val="00FC693F"/>
    <w:rPr>
      <w:rFonts w:asciiTheme="majorHAnsi" w:eastAsiaTheme="majorEastAsia" w:hAnsiTheme="majorHAnsi" w:cstheme="majorBidi"/>
      <w:color w:val="243F60" w:themeColor="accent1" w:themeShade="7F"/>
      <w:lang w:val="sv-SE" w:eastAsia="en-US" w:bidi="ar-SA"/>
    </w:rPr>
  </w:style>
  <w:style w:type="character" w:customStyle="1" w:styleId="Heading6Char">
    <w:name w:val="Heading 6 Char"/>
    <w:basedOn w:val="DefaultParagraphFont"/>
    <w:link w:val="Heading6"/>
    <w:uiPriority w:val="9"/>
    <w:semiHidden/>
    <w:rsid w:val="00FC693F"/>
    <w:rPr>
      <w:rFonts w:asciiTheme="majorHAnsi" w:eastAsiaTheme="majorEastAsia" w:hAnsiTheme="majorHAnsi" w:cstheme="majorBidi"/>
      <w:i/>
      <w:iCs/>
      <w:color w:val="243F60" w:themeColor="accent1" w:themeShade="7F"/>
      <w:lang w:val="sv-SE" w:eastAsia="en-US" w:bidi="ar-SA"/>
    </w:rPr>
  </w:style>
  <w:style w:type="character" w:customStyle="1" w:styleId="Heading7Char">
    <w:name w:val="Heading 7 Char"/>
    <w:basedOn w:val="DefaultParagraphFont"/>
    <w:link w:val="Heading7"/>
    <w:uiPriority w:val="9"/>
    <w:semiHidden/>
    <w:rsid w:val="00FC693F"/>
    <w:rPr>
      <w:rFonts w:asciiTheme="majorHAnsi" w:eastAsiaTheme="majorEastAsia" w:hAnsiTheme="majorHAnsi" w:cstheme="majorBidi"/>
      <w:i/>
      <w:iCs/>
      <w:color w:val="404040" w:themeColor="text1" w:themeTint="BF"/>
      <w:lang w:val="sv-SE" w:eastAsia="en-US" w:bidi="ar-SA"/>
    </w:rPr>
  </w:style>
  <w:style w:type="character" w:customStyle="1" w:styleId="Heading8Char">
    <w:name w:val="Heading 8 Char"/>
    <w:basedOn w:val="DefaultParagraphFont"/>
    <w:link w:val="Heading8"/>
    <w:uiPriority w:val="9"/>
    <w:semiHidden/>
    <w:rsid w:val="00FC693F"/>
    <w:rPr>
      <w:rFonts w:asciiTheme="majorHAnsi" w:eastAsiaTheme="majorEastAsia" w:hAnsiTheme="majorHAnsi" w:cstheme="majorBidi"/>
      <w:color w:val="4F81BD" w:themeColor="accent1"/>
      <w:sz w:val="20"/>
      <w:szCs w:val="20"/>
      <w:lang w:val="sv-SE" w:eastAsia="en-US" w:bidi="ar-SA"/>
    </w:rPr>
  </w:style>
  <w:style w:type="character" w:customStyle="1" w:styleId="Heading9Char">
    <w:name w:val="Heading 9 Char"/>
    <w:basedOn w:val="DefaultParagraphFont"/>
    <w:link w:val="Heading9"/>
    <w:uiPriority w:val="9"/>
    <w:semiHidden/>
    <w:rsid w:val="00FC693F"/>
    <w:rPr>
      <w:rFonts w:asciiTheme="majorHAnsi" w:eastAsiaTheme="majorEastAsia" w:hAnsiTheme="majorHAnsi" w:cstheme="majorBidi"/>
      <w:i/>
      <w:iCs/>
      <w:color w:val="404040" w:themeColor="text1" w:themeTint="BF"/>
      <w:sz w:val="20"/>
      <w:szCs w:val="20"/>
      <w:lang w:val="sv-SE" w:eastAsia="en-US" w:bidi="ar-SA"/>
    </w:rPr>
  </w:style>
  <w:style w:type="paragraph" w:styleId="Caption">
    <w:name w:val="caption"/>
    <w:basedOn w:val="Normal"/>
    <w:next w:val="Normal"/>
    <w:uiPriority w:val="35"/>
    <w:unhideWhenUsed/>
    <w:qFormat/>
    <w:rsid w:val="00ED360C"/>
    <w:pPr>
      <w:spacing w:after="80" w:line="240" w:lineRule="auto"/>
    </w:pPr>
    <w:rPr>
      <w:bCs/>
      <w:sz w:val="18"/>
      <w:szCs w:val="18"/>
      <w:lang w:val="sv-SE" w:eastAsia="en-US" w:bidi="ar-SA"/>
    </w:rPr>
  </w:style>
  <w:style w:type="character" w:styleId="Strong">
    <w:name w:val="Strong"/>
    <w:basedOn w:val="DefaultParagraphFont"/>
    <w:uiPriority w:val="22"/>
    <w:qFormat/>
    <w:rsid w:val="00FC693F"/>
    <w:rPr>
      <w:b/>
      <w:bCs/>
      <w:lang w:val="sv-SE" w:eastAsia="en-US" w:bidi="ar-SA"/>
    </w:rPr>
  </w:style>
  <w:style w:type="character" w:styleId="Emphasis">
    <w:name w:val="Emphasis"/>
    <w:basedOn w:val="DefaultParagraphFont"/>
    <w:uiPriority w:val="20"/>
    <w:qFormat/>
    <w:rsid w:val="00FC693F"/>
    <w:rPr>
      <w:i/>
      <w:iCs/>
      <w:lang w:val="sv-SE" w:eastAsia="en-US" w:bidi="ar-SA"/>
    </w:rPr>
  </w:style>
  <w:style w:type="paragraph" w:styleId="IntenseQuote">
    <w:name w:val="Intense Quote"/>
    <w:basedOn w:val="Normal"/>
    <w:next w:val="Normal"/>
    <w:link w:val="IntenseQuoteChar"/>
    <w:uiPriority w:val="30"/>
    <w:qFormat/>
    <w:rsid w:val="00FC693F"/>
    <w:pPr>
      <w:pBdr>
        <w:bottom w:val="single" w:sz="4" w:space="4" w:color="4F81BD" w:themeColor="accent1"/>
      </w:pBdr>
      <w:spacing w:before="200" w:after="280"/>
      <w:ind w:left="936" w:right="936"/>
    </w:pPr>
    <w:rPr>
      <w:b/>
      <w:bCs/>
      <w:i/>
      <w:iCs/>
      <w:color w:val="4F81BD" w:themeColor="accent1"/>
      <w:lang w:val="sv-SE" w:eastAsia="en-US" w:bidi="ar-SA"/>
    </w:rPr>
  </w:style>
  <w:style w:type="character" w:customStyle="1" w:styleId="IntenseQuoteChar">
    <w:name w:val="Intense Quote Char"/>
    <w:basedOn w:val="DefaultParagraphFont"/>
    <w:link w:val="IntenseQuote"/>
    <w:uiPriority w:val="30"/>
    <w:rsid w:val="00FC693F"/>
    <w:rPr>
      <w:b/>
      <w:bCs/>
      <w:i/>
      <w:iCs/>
      <w:color w:val="4F81BD" w:themeColor="accent1"/>
      <w:lang w:val="sv-SE" w:eastAsia="en-US" w:bidi="ar-SA"/>
    </w:rPr>
  </w:style>
  <w:style w:type="character" w:styleId="SubtleEmphasis">
    <w:name w:val="Subtle Emphasis"/>
    <w:basedOn w:val="DefaultParagraphFont"/>
    <w:uiPriority w:val="19"/>
    <w:qFormat/>
    <w:rsid w:val="00FC693F"/>
    <w:rPr>
      <w:i/>
      <w:iCs/>
      <w:color w:val="808080" w:themeColor="text1" w:themeTint="7F"/>
      <w:lang w:val="sv-SE" w:eastAsia="en-US" w:bidi="ar-SA"/>
    </w:rPr>
  </w:style>
  <w:style w:type="character" w:styleId="IntenseEmphasis">
    <w:name w:val="Intense Emphasis"/>
    <w:basedOn w:val="DefaultParagraphFont"/>
    <w:uiPriority w:val="21"/>
    <w:qFormat/>
    <w:rsid w:val="00FC693F"/>
    <w:rPr>
      <w:b/>
      <w:bCs/>
      <w:i/>
      <w:iCs/>
      <w:color w:val="4F81BD" w:themeColor="accent1"/>
      <w:lang w:val="sv-SE" w:eastAsia="en-US" w:bidi="ar-SA"/>
    </w:rPr>
  </w:style>
  <w:style w:type="character" w:styleId="SubtleReference">
    <w:name w:val="Subtle Reference"/>
    <w:basedOn w:val="DefaultParagraphFont"/>
    <w:uiPriority w:val="31"/>
    <w:qFormat/>
    <w:rsid w:val="00FC693F"/>
    <w:rPr>
      <w:smallCaps/>
      <w:color w:val="C0504D" w:themeColor="accent2"/>
      <w:u w:val="single"/>
      <w:lang w:val="sv-SE" w:eastAsia="en-US" w:bidi="ar-SA"/>
    </w:rPr>
  </w:style>
  <w:style w:type="character" w:styleId="IntenseReference">
    <w:name w:val="Intense Reference"/>
    <w:basedOn w:val="DefaultParagraphFont"/>
    <w:uiPriority w:val="32"/>
    <w:qFormat/>
    <w:rsid w:val="00FC693F"/>
    <w:rPr>
      <w:b/>
      <w:bCs/>
      <w:smallCaps/>
      <w:color w:val="C0504D" w:themeColor="accent2"/>
      <w:spacing w:val="5"/>
      <w:u w:val="single"/>
      <w:lang w:val="sv-SE" w:eastAsia="en-US" w:bidi="ar-SA"/>
    </w:rPr>
  </w:style>
  <w:style w:type="character" w:styleId="BookTitle">
    <w:name w:val="Book Title"/>
    <w:basedOn w:val="DefaultParagraphFont"/>
    <w:uiPriority w:val="33"/>
    <w:qFormat/>
    <w:rsid w:val="00FC693F"/>
    <w:rPr>
      <w:b/>
      <w:bCs/>
      <w:smallCaps/>
      <w:spacing w:val="5"/>
      <w:lang w:val="sv-SE" w:eastAsia="en-US" w:bidi="ar-SA"/>
    </w:rPr>
  </w:style>
  <w:style w:type="paragraph" w:styleId="TOCHeading">
    <w:name w:val="TOC Heading"/>
    <w:basedOn w:val="Heading1"/>
    <w:next w:val="Normal"/>
    <w:uiPriority w:val="39"/>
    <w:semiHidden/>
    <w:unhideWhenUsed/>
    <w:qFormat/>
    <w:rsid w:val="00FC693F"/>
    <w:pPr>
      <w:outlineLvl w:val="9"/>
    </w:pPr>
    <w:rPr>
      <w:lang w:val="sv-SE" w:eastAsia="en-US" w:bidi="ar-SA"/>
    </w:rPr>
  </w:style>
  <w:style w:type="table" w:styleId="TableGrid">
    <w:name w:val="Table Grid"/>
    <w:basedOn w:val="TableNormal"/>
    <w:uiPriority w:val="59"/>
    <w:rsid w:val="00FC693F"/>
    <w:pPr>
      <w:spacing w:after="0" w:line="240" w:lineRule="auto"/>
    </w:pPr>
    <w:rPr>
      <w:lang w:val="sv-SE" w:eastAsia="en-US" w:bidi="ar-SA"/>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FC693F"/>
    <w:pPr>
      <w:spacing w:after="0" w:line="240" w:lineRule="auto"/>
    </w:pPr>
    <w:rPr>
      <w:color w:val="000000" w:themeColor="text1" w:themeShade="BF"/>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LightShading-Accent1">
    <w:name w:val="Light Shading Accent 1"/>
    <w:basedOn w:val="TableNormal"/>
    <w:uiPriority w:val="60"/>
    <w:rsid w:val="00FC693F"/>
    <w:pPr>
      <w:spacing w:after="0" w:line="240" w:lineRule="auto"/>
    </w:pPr>
    <w:rPr>
      <w:color w:val="365F91" w:themeColor="accent1" w:themeShade="BF"/>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LightShading-Accent2">
    <w:name w:val="Light Shading Accent 2"/>
    <w:basedOn w:val="TableNormal"/>
    <w:uiPriority w:val="60"/>
    <w:rsid w:val="00FC693F"/>
    <w:pPr>
      <w:spacing w:after="0" w:line="240" w:lineRule="auto"/>
    </w:pPr>
    <w:rPr>
      <w:color w:val="943634" w:themeColor="accent2" w:themeShade="BF"/>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lastRow">
      <w:pPr>
        <w:spacing w:before="0" w:after="0" w:line="240" w:lineRule="auto"/>
      </w:pPr>
      <w:rPr>
        <w:b/>
        <w:bCs/>
      </w:rPr>
      <w:tblPr/>
      <w:tcPr>
        <w:tcBorders>
          <w:top w:val="single" w:sz="8" w:space="0" w:color="C0504D" w:themeColor="accent2"/>
          <w:left w:val="nil"/>
          <w:bottom w:val="single" w:sz="8" w:space="0" w:color="C0504D"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left w:val="nil"/>
          <w:right w:val="nil"/>
          <w:insideH w:val="nil"/>
          <w:insideV w:val="nil"/>
        </w:tcBorders>
        <w:shd w:val="clear" w:color="auto" w:fill="EFD3D2" w:themeFill="accent2" w:themeFillTint="3F"/>
      </w:tcPr>
    </w:tblStylePr>
  </w:style>
  <w:style w:type="table" w:styleId="LightShading-Accent3">
    <w:name w:val="Light Shading Accent 3"/>
    <w:basedOn w:val="TableNormal"/>
    <w:uiPriority w:val="60"/>
    <w:rsid w:val="00FC693F"/>
    <w:pPr>
      <w:spacing w:after="0" w:line="240" w:lineRule="auto"/>
    </w:pPr>
    <w:rPr>
      <w:color w:val="76923C" w:themeColor="accent3" w:themeShade="BF"/>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lastRow">
      <w:pPr>
        <w:spacing w:before="0" w:after="0" w:line="240" w:lineRule="auto"/>
      </w:pPr>
      <w:rPr>
        <w:b/>
        <w:bCs/>
      </w:rPr>
      <w:tblPr/>
      <w:tcPr>
        <w:tcBorders>
          <w:top w:val="single" w:sz="8" w:space="0" w:color="9BBB59" w:themeColor="accent3"/>
          <w:left w:val="nil"/>
          <w:bottom w:val="single" w:sz="8" w:space="0" w:color="9BBB59"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left w:val="nil"/>
          <w:right w:val="nil"/>
          <w:insideH w:val="nil"/>
          <w:insideV w:val="nil"/>
        </w:tcBorders>
        <w:shd w:val="clear" w:color="auto" w:fill="E6EED5" w:themeFill="accent3" w:themeFillTint="3F"/>
      </w:tcPr>
    </w:tblStylePr>
  </w:style>
  <w:style w:type="table" w:styleId="LightShading-Accent4">
    <w:name w:val="Light Shading Accent 4"/>
    <w:basedOn w:val="TableNormal"/>
    <w:uiPriority w:val="60"/>
    <w:rsid w:val="00FC693F"/>
    <w:pPr>
      <w:spacing w:after="0" w:line="240" w:lineRule="auto"/>
    </w:pPr>
    <w:rPr>
      <w:color w:val="5F497A" w:themeColor="accent4" w:themeShade="BF"/>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lastRow">
      <w:pPr>
        <w:spacing w:before="0" w:after="0" w:line="240" w:lineRule="auto"/>
      </w:pPr>
      <w:rPr>
        <w:b/>
        <w:bCs/>
      </w:rPr>
      <w:tblPr/>
      <w:tcPr>
        <w:tcBorders>
          <w:top w:val="single" w:sz="8" w:space="0" w:color="8064A2" w:themeColor="accent4"/>
          <w:left w:val="nil"/>
          <w:bottom w:val="single" w:sz="8" w:space="0" w:color="8064A2" w:themeColor="accent4"/>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left w:val="nil"/>
          <w:right w:val="nil"/>
          <w:insideH w:val="nil"/>
          <w:insideV w:val="nil"/>
        </w:tcBorders>
        <w:shd w:val="clear" w:color="auto" w:fill="DFD8E8" w:themeFill="accent4" w:themeFillTint="3F"/>
      </w:tcPr>
    </w:tblStylePr>
  </w:style>
  <w:style w:type="table" w:styleId="LightShading-Accent5">
    <w:name w:val="Light Shading Accent 5"/>
    <w:basedOn w:val="TableNormal"/>
    <w:uiPriority w:val="60"/>
    <w:rsid w:val="00FC693F"/>
    <w:pPr>
      <w:spacing w:after="0" w:line="240" w:lineRule="auto"/>
    </w:pPr>
    <w:rPr>
      <w:color w:val="31849B" w:themeColor="accent5" w:themeShade="BF"/>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lastRow">
      <w:pPr>
        <w:spacing w:before="0" w:after="0" w:line="240" w:lineRule="auto"/>
      </w:pPr>
      <w:rPr>
        <w:b/>
        <w:bCs/>
      </w:rPr>
      <w:tblPr/>
      <w:tcPr>
        <w:tcBorders>
          <w:top w:val="single" w:sz="8" w:space="0" w:color="4BACC6" w:themeColor="accent5"/>
          <w:left w:val="nil"/>
          <w:bottom w:val="single" w:sz="8" w:space="0" w:color="4BACC6" w:themeColor="accent5"/>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left w:val="nil"/>
          <w:right w:val="nil"/>
          <w:insideH w:val="nil"/>
          <w:insideV w:val="nil"/>
        </w:tcBorders>
        <w:shd w:val="clear" w:color="auto" w:fill="D2EAF1" w:themeFill="accent5" w:themeFillTint="3F"/>
      </w:tcPr>
    </w:tblStylePr>
  </w:style>
  <w:style w:type="table" w:styleId="LightShading-Accent6">
    <w:name w:val="Light Shading Accent 6"/>
    <w:basedOn w:val="TableNormal"/>
    <w:uiPriority w:val="60"/>
    <w:rsid w:val="00FC693F"/>
    <w:pPr>
      <w:spacing w:after="0" w:line="240" w:lineRule="auto"/>
    </w:pPr>
    <w:rPr>
      <w:color w:val="E36C0A" w:themeColor="accent6" w:themeShade="BF"/>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lastRow">
      <w:pPr>
        <w:spacing w:before="0" w:after="0" w:line="240" w:lineRule="auto"/>
      </w:pPr>
      <w:rPr>
        <w:b/>
        <w:bCs/>
      </w:rPr>
      <w:tblPr/>
      <w:tcPr>
        <w:tcBorders>
          <w:top w:val="single" w:sz="8" w:space="0" w:color="F79646" w:themeColor="accent6"/>
          <w:left w:val="nil"/>
          <w:bottom w:val="single" w:sz="8" w:space="0" w:color="F79646" w:themeColor="accent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left w:val="nil"/>
          <w:right w:val="nil"/>
          <w:insideH w:val="nil"/>
          <w:insideV w:val="nil"/>
        </w:tcBorders>
        <w:shd w:val="clear" w:color="auto" w:fill="FDE4D0" w:themeFill="accent6" w:themeFillTint="3F"/>
      </w:tcPr>
    </w:tblStylePr>
  </w:style>
  <w:style w:type="table" w:styleId="LightList">
    <w:name w:val="Light List"/>
    <w:basedOn w:val="TableNormal"/>
    <w:uiPriority w:val="61"/>
    <w:rsid w:val="00FC693F"/>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LightList-Accent1">
    <w:name w:val="Light List Accent 1"/>
    <w:basedOn w:val="TableNormal"/>
    <w:uiPriority w:val="61"/>
    <w:rsid w:val="00FC693F"/>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LightList-Accent2">
    <w:name w:val="Light List Accent 2"/>
    <w:basedOn w:val="TableNormal"/>
    <w:uiPriority w:val="61"/>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pPr>
        <w:spacing w:before="0" w:after="0" w:line="240" w:lineRule="auto"/>
      </w:pPr>
      <w:rPr>
        <w:b/>
        <w:bCs/>
        <w:color w:val="FFFFFF" w:themeColor="background1"/>
      </w:rPr>
      <w:tblPr/>
      <w:tcPr>
        <w:shd w:val="clear" w:color="auto" w:fill="C0504D" w:themeFill="accent2"/>
      </w:tcPr>
    </w:tblStylePr>
    <w:tblStylePr w:type="lastRow">
      <w:pPr>
        <w:spacing w:before="0" w:after="0" w:line="240" w:lineRule="auto"/>
      </w:pPr>
      <w:rPr>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tcBorders>
      </w:tcPr>
    </w:tblStylePr>
    <w:tblStylePr w:type="firstCol">
      <w:rPr>
        <w:b/>
        <w:bCs/>
      </w:rPr>
    </w:tblStylePr>
    <w:tblStylePr w:type="lastCol">
      <w:rPr>
        <w:b/>
        <w:bCs/>
      </w:r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style>
  <w:style w:type="table" w:styleId="LightList-Accent3">
    <w:name w:val="Light List Accent 3"/>
    <w:basedOn w:val="TableNormal"/>
    <w:uiPriority w:val="61"/>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LightList-Accent4">
    <w:name w:val="Light List Accent 4"/>
    <w:basedOn w:val="TableNormal"/>
    <w:uiPriority w:val="61"/>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pPr>
        <w:spacing w:before="0" w:after="0" w:line="240" w:lineRule="auto"/>
      </w:pPr>
      <w:rPr>
        <w:b/>
        <w:bCs/>
        <w:color w:val="FFFFFF" w:themeColor="background1"/>
      </w:rPr>
      <w:tblPr/>
      <w:tcPr>
        <w:shd w:val="clear" w:color="auto" w:fill="8064A2" w:themeFill="accent4"/>
      </w:tcPr>
    </w:tblStylePr>
    <w:tblStylePr w:type="lastRow">
      <w:pPr>
        <w:spacing w:before="0" w:after="0" w:line="240" w:lineRule="auto"/>
      </w:pPr>
      <w:rPr>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tcBorders>
      </w:tcPr>
    </w:tblStylePr>
    <w:tblStylePr w:type="firstCol">
      <w:rPr>
        <w:b/>
        <w:bCs/>
      </w:rPr>
    </w:tblStylePr>
    <w:tblStylePr w:type="lastCol">
      <w:rPr>
        <w:b/>
        <w:bCs/>
      </w:r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style>
  <w:style w:type="table" w:styleId="LightList-Accent5">
    <w:name w:val="Light List Accent 5"/>
    <w:basedOn w:val="TableNormal"/>
    <w:uiPriority w:val="61"/>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table" w:styleId="LightList-Accent6">
    <w:name w:val="Light List Accent 6"/>
    <w:basedOn w:val="TableNormal"/>
    <w:uiPriority w:val="61"/>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 w:type="table" w:styleId="LightGrid">
    <w:name w:val="Light Grid"/>
    <w:basedOn w:val="TableNormal"/>
    <w:uiPriority w:val="62"/>
    <w:rsid w:val="00CB0664"/>
    <w:pPr>
      <w:spacing w:after="0" w:line="240" w:lineRule="auto"/>
    </w:pPr>
    <w:rPr>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LightGrid-Accent1">
    <w:name w:val="Light Grid Accent 1"/>
    <w:basedOn w:val="TableNormal"/>
    <w:uiPriority w:val="62"/>
    <w:rsid w:val="00CB0664"/>
    <w:pPr>
      <w:spacing w:after="0" w:line="240" w:lineRule="auto"/>
    </w:pPr>
    <w:rPr>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LightGrid-Accent2">
    <w:name w:val="Light Grid Accent 2"/>
    <w:basedOn w:val="TableNormal"/>
    <w:uiPriority w:val="62"/>
    <w:rsid w:val="00CB0664"/>
    <w:pPr>
      <w:spacing w:after="0" w:line="240" w:lineRule="auto"/>
    </w:pPr>
    <w:rPr>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18" w:space="0" w:color="C0504D" w:themeColor="accent2"/>
          <w:right w:val="single" w:sz="8" w:space="0" w:color="C0504D" w:themeColor="accent2"/>
          <w:insideH w:val="nil"/>
          <w:insideV w:val="single" w:sz="8" w:space="0" w:color="C0504D" w:themeColor="accent2"/>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C0504D" w:themeColor="accent2"/>
          <w:left w:val="single" w:sz="8" w:space="0" w:color="C0504D" w:themeColor="accent2"/>
          <w:bottom w:val="single" w:sz="8" w:space="0" w:color="C0504D" w:themeColor="accent2"/>
          <w:right w:val="single" w:sz="8" w:space="0" w:color="C0504D" w:themeColor="accent2"/>
          <w:insideH w:val="nil"/>
          <w:insideV w:val="single" w:sz="8" w:space="0" w:color="C0504D" w:themeColor="accent2"/>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tcPr>
    </w:tblStylePr>
    <w:tblStylePr w:type="band1Vert">
      <w:tblPr/>
      <w:tcPr>
        <w:tcBorders>
          <w:top w:val="single" w:sz="8" w:space="0" w:color="C0504D" w:themeColor="accent2"/>
          <w:left w:val="single" w:sz="8" w:space="0" w:color="C0504D" w:themeColor="accent2"/>
          <w:bottom w:val="single" w:sz="8" w:space="0" w:color="C0504D" w:themeColor="accent2"/>
          <w:right w:val="single" w:sz="8" w:space="0" w:color="C0504D" w:themeColor="accent2"/>
        </w:tcBorders>
        <w:shd w:val="clear" w:color="auto" w:fill="EFD3D2" w:themeFill="accent2" w:themeFillTint="3F"/>
      </w:tcPr>
    </w:tblStylePr>
    <w:tblStylePr w:type="band1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shd w:val="clear" w:color="auto" w:fill="EFD3D2" w:themeFill="accent2" w:themeFillTint="3F"/>
      </w:tcPr>
    </w:tblStylePr>
    <w:tblStylePr w:type="band2Horz">
      <w:tblPr/>
      <w:tcPr>
        <w:tcBorders>
          <w:top w:val="single" w:sz="8" w:space="0" w:color="C0504D" w:themeColor="accent2"/>
          <w:left w:val="single" w:sz="8" w:space="0" w:color="C0504D" w:themeColor="accent2"/>
          <w:bottom w:val="single" w:sz="8" w:space="0" w:color="C0504D" w:themeColor="accent2"/>
          <w:right w:val="single" w:sz="8" w:space="0" w:color="C0504D" w:themeColor="accent2"/>
          <w:insideV w:val="single" w:sz="8" w:space="0" w:color="C0504D" w:themeColor="accent2"/>
        </w:tcBorders>
      </w:tcPr>
    </w:tblStylePr>
  </w:style>
  <w:style w:type="table" w:styleId="LightGrid-Accent3">
    <w:name w:val="Light Grid Accent 3"/>
    <w:basedOn w:val="TableNormal"/>
    <w:uiPriority w:val="62"/>
    <w:rsid w:val="00CB0664"/>
    <w:pPr>
      <w:spacing w:after="0" w:line="240" w:lineRule="auto"/>
    </w:pPr>
    <w:rPr>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18" w:space="0" w:color="9BBB59" w:themeColor="accent3"/>
          <w:right w:val="single" w:sz="8" w:space="0" w:color="9BBB59" w:themeColor="accent3"/>
          <w:insideH w:val="nil"/>
          <w:insideV w:val="single" w:sz="8" w:space="0" w:color="9BBB59" w:themeColor="accent3"/>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insideH w:val="nil"/>
          <w:insideV w:val="single" w:sz="8" w:space="0" w:color="9BBB59" w:themeColor="accent3"/>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shd w:val="clear" w:color="auto" w:fill="E6EED5" w:themeFill="accent3" w:themeFillTint="3F"/>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shd w:val="clear" w:color="auto" w:fill="E6EED5" w:themeFill="accent3" w:themeFillTint="3F"/>
      </w:tcPr>
    </w:tblStylePr>
    <w:tblStylePr w:type="band2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insideV w:val="single" w:sz="8" w:space="0" w:color="9BBB59" w:themeColor="accent3"/>
        </w:tcBorders>
      </w:tcPr>
    </w:tblStylePr>
  </w:style>
  <w:style w:type="table" w:styleId="LightGrid-Accent4">
    <w:name w:val="Light Grid Accent 4"/>
    <w:basedOn w:val="TableNormal"/>
    <w:uiPriority w:val="62"/>
    <w:rsid w:val="00CB0664"/>
    <w:pPr>
      <w:spacing w:after="0" w:line="240" w:lineRule="auto"/>
    </w:pPr>
    <w:rPr>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18" w:space="0" w:color="8064A2" w:themeColor="accent4"/>
          <w:right w:val="single" w:sz="8" w:space="0" w:color="8064A2" w:themeColor="accent4"/>
          <w:insideH w:val="nil"/>
          <w:insideV w:val="single" w:sz="8" w:space="0" w:color="8064A2" w:themeColor="accent4"/>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8064A2" w:themeColor="accent4"/>
          <w:left w:val="single" w:sz="8" w:space="0" w:color="8064A2" w:themeColor="accent4"/>
          <w:bottom w:val="single" w:sz="8" w:space="0" w:color="8064A2" w:themeColor="accent4"/>
          <w:right w:val="single" w:sz="8" w:space="0" w:color="8064A2" w:themeColor="accent4"/>
          <w:insideH w:val="nil"/>
          <w:insideV w:val="single" w:sz="8" w:space="0" w:color="8064A2" w:themeColor="accent4"/>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tcPr>
    </w:tblStylePr>
    <w:tblStylePr w:type="band1Vert">
      <w:tblPr/>
      <w:tcPr>
        <w:tcBorders>
          <w:top w:val="single" w:sz="8" w:space="0" w:color="8064A2" w:themeColor="accent4"/>
          <w:left w:val="single" w:sz="8" w:space="0" w:color="8064A2" w:themeColor="accent4"/>
          <w:bottom w:val="single" w:sz="8" w:space="0" w:color="8064A2" w:themeColor="accent4"/>
          <w:right w:val="single" w:sz="8" w:space="0" w:color="8064A2" w:themeColor="accent4"/>
        </w:tcBorders>
        <w:shd w:val="clear" w:color="auto" w:fill="DFD8E8" w:themeFill="accent4" w:themeFillTint="3F"/>
      </w:tcPr>
    </w:tblStylePr>
    <w:tblStylePr w:type="band1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shd w:val="clear" w:color="auto" w:fill="DFD8E8" w:themeFill="accent4" w:themeFillTint="3F"/>
      </w:tcPr>
    </w:tblStylePr>
    <w:tblStylePr w:type="band2Horz">
      <w:tblPr/>
      <w:tcPr>
        <w:tcBorders>
          <w:top w:val="single" w:sz="8" w:space="0" w:color="8064A2" w:themeColor="accent4"/>
          <w:left w:val="single" w:sz="8" w:space="0" w:color="8064A2" w:themeColor="accent4"/>
          <w:bottom w:val="single" w:sz="8" w:space="0" w:color="8064A2" w:themeColor="accent4"/>
          <w:right w:val="single" w:sz="8" w:space="0" w:color="8064A2" w:themeColor="accent4"/>
          <w:insideV w:val="single" w:sz="8" w:space="0" w:color="8064A2" w:themeColor="accent4"/>
        </w:tcBorders>
      </w:tcPr>
    </w:tblStylePr>
  </w:style>
  <w:style w:type="table" w:styleId="LightGrid-Accent5">
    <w:name w:val="Light Grid Accent 5"/>
    <w:basedOn w:val="TableNormal"/>
    <w:uiPriority w:val="62"/>
    <w:rsid w:val="00CB0664"/>
    <w:pPr>
      <w:spacing w:after="0" w:line="240" w:lineRule="auto"/>
    </w:pPr>
    <w:rPr>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18" w:space="0" w:color="4BACC6" w:themeColor="accent5"/>
          <w:right w:val="single" w:sz="8" w:space="0" w:color="4BACC6" w:themeColor="accent5"/>
          <w:insideH w:val="nil"/>
          <w:insideV w:val="single" w:sz="8" w:space="0" w:color="4BACC6" w:themeColor="accent5"/>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insideH w:val="nil"/>
          <w:insideV w:val="single" w:sz="8" w:space="0" w:color="4BACC6" w:themeColor="accent5"/>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shd w:val="clear" w:color="auto" w:fill="D2EAF1" w:themeFill="accent5" w:themeFillTint="3F"/>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shd w:val="clear" w:color="auto" w:fill="D2EAF1" w:themeFill="accent5" w:themeFillTint="3F"/>
      </w:tcPr>
    </w:tblStylePr>
    <w:tblStylePr w:type="band2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insideV w:val="single" w:sz="8" w:space="0" w:color="4BACC6" w:themeColor="accent5"/>
        </w:tcBorders>
      </w:tcPr>
    </w:tblStylePr>
  </w:style>
  <w:style w:type="table" w:styleId="LightGrid-Accent6">
    <w:name w:val="Light Grid Accent 6"/>
    <w:basedOn w:val="TableNormal"/>
    <w:uiPriority w:val="62"/>
    <w:rsid w:val="00CB0664"/>
    <w:pPr>
      <w:spacing w:after="0" w:line="240" w:lineRule="auto"/>
    </w:pPr>
    <w:rPr>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18" w:space="0" w:color="F79646" w:themeColor="accent6"/>
          <w:right w:val="single" w:sz="8" w:space="0" w:color="F79646" w:themeColor="accent6"/>
          <w:insideH w:val="nil"/>
          <w:insideV w:val="single" w:sz="8" w:space="0" w:color="F79646" w:themeColor="accent6"/>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insideH w:val="nil"/>
          <w:insideV w:val="single" w:sz="8" w:space="0" w:color="F79646" w:themeColor="accent6"/>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shd w:val="clear" w:color="auto" w:fill="FDE4D0" w:themeFill="accent6" w:themeFillTint="3F"/>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shd w:val="clear" w:color="auto" w:fill="FDE4D0" w:themeFill="accent6" w:themeFillTint="3F"/>
      </w:tcPr>
    </w:tblStylePr>
    <w:tblStylePr w:type="band2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insideV w:val="single" w:sz="8" w:space="0" w:color="F79646" w:themeColor="accent6"/>
        </w:tcBorders>
      </w:tcPr>
    </w:tblStylePr>
  </w:style>
  <w:style w:type="table" w:styleId="MediumShading1">
    <w:name w:val="Medium Shading 1"/>
    <w:basedOn w:val="TableNormal"/>
    <w:uiPriority w:val="63"/>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MediumShading1-Accent1">
    <w:name w:val="Medium Shading 1 Accent 1"/>
    <w:basedOn w:val="TableNormal"/>
    <w:uiPriority w:val="63"/>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MediumShading1-Accent2">
    <w:name w:val="Medium Shading 1 Accent 2"/>
    <w:basedOn w:val="TableNormal"/>
    <w:uiPriority w:val="63"/>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tblBorders>
    </w:tblPr>
    <w:tblStylePr w:type="firstRow">
      <w:pPr>
        <w:spacing w:before="0" w:after="0" w:line="240" w:lineRule="auto"/>
      </w:pPr>
      <w:rPr>
        <w:b/>
        <w:bCs/>
        <w:color w:val="FFFFFF" w:themeColor="background1"/>
      </w:rPr>
      <w:tblPr/>
      <w:tcPr>
        <w:tc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shd w:val="clear" w:color="auto" w:fill="C0504D" w:themeFill="accent2"/>
      </w:tcPr>
    </w:tblStylePr>
    <w:tblStylePr w:type="lastRow">
      <w:pPr>
        <w:spacing w:before="0" w:after="0" w:line="240" w:lineRule="auto"/>
      </w:pPr>
      <w:rPr>
        <w:b/>
        <w:bCs/>
      </w:rPr>
      <w:tblPr/>
      <w:tcPr>
        <w:tcBorders>
          <w:top w:val="double" w:sz="6"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nil"/>
          <w:insideV w:val="nil"/>
        </w:tcBorders>
      </w:tcPr>
    </w:tblStylePr>
    <w:tblStylePr w:type="firstCol">
      <w:rPr>
        <w:b/>
        <w:bCs/>
      </w:rPr>
    </w:tblStylePr>
    <w:tblStylePr w:type="lastCol">
      <w:rPr>
        <w:b/>
        <w:bCs/>
      </w:rPr>
    </w:tblStylePr>
    <w:tblStylePr w:type="band1Vert">
      <w:tblPr/>
      <w:tcPr>
        <w:shd w:val="clear" w:color="auto" w:fill="EFD3D2" w:themeFill="accent2" w:themeFillTint="3F"/>
      </w:tcPr>
    </w:tblStylePr>
    <w:tblStylePr w:type="band1Horz">
      <w:tblPr/>
      <w:tcPr>
        <w:tcBorders>
          <w:insideH w:val="nil"/>
          <w:insideV w:val="nil"/>
        </w:tcBorders>
        <w:shd w:val="clear" w:color="auto" w:fill="EFD3D2" w:themeFill="accent2" w:themeFillTint="3F"/>
      </w:tcPr>
    </w:tblStylePr>
    <w:tblStylePr w:type="band2Horz">
      <w:tblPr/>
      <w:tcPr>
        <w:tcBorders>
          <w:insideH w:val="nil"/>
          <w:insideV w:val="nil"/>
        </w:tcBorders>
      </w:tcPr>
    </w:tblStylePr>
  </w:style>
  <w:style w:type="table" w:styleId="MediumShading1-Accent3">
    <w:name w:val="Medium Shading 1 Accent 3"/>
    <w:basedOn w:val="TableNormal"/>
    <w:uiPriority w:val="63"/>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MediumShading1-Accent4">
    <w:name w:val="Medium Shading 1 Accent 4"/>
    <w:basedOn w:val="TableNormal"/>
    <w:uiPriority w:val="63"/>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tblBorders>
    </w:tblPr>
    <w:tblStylePr w:type="firstRow">
      <w:pPr>
        <w:spacing w:before="0" w:after="0" w:line="240" w:lineRule="auto"/>
      </w:pPr>
      <w:rPr>
        <w:b/>
        <w:bCs/>
        <w:color w:val="FFFFFF" w:themeColor="background1"/>
      </w:rPr>
      <w:tblPr/>
      <w:tcPr>
        <w:tc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shd w:val="clear" w:color="auto" w:fill="8064A2" w:themeFill="accent4"/>
      </w:tcPr>
    </w:tblStylePr>
    <w:tblStylePr w:type="lastRow">
      <w:pPr>
        <w:spacing w:before="0" w:after="0" w:line="240" w:lineRule="auto"/>
      </w:pPr>
      <w:rPr>
        <w:b/>
        <w:bCs/>
      </w:rPr>
      <w:tblPr/>
      <w:tcPr>
        <w:tcBorders>
          <w:top w:val="double" w:sz="6"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nil"/>
          <w:insideV w:val="nil"/>
        </w:tcBorders>
      </w:tcPr>
    </w:tblStylePr>
    <w:tblStylePr w:type="firstCol">
      <w:rPr>
        <w:b/>
        <w:bCs/>
      </w:rPr>
    </w:tblStylePr>
    <w:tblStylePr w:type="lastCol">
      <w:rPr>
        <w:b/>
        <w:bCs/>
      </w:rPr>
    </w:tblStylePr>
    <w:tblStylePr w:type="band1Vert">
      <w:tblPr/>
      <w:tcPr>
        <w:shd w:val="clear" w:color="auto" w:fill="DFD8E8" w:themeFill="accent4" w:themeFillTint="3F"/>
      </w:tcPr>
    </w:tblStylePr>
    <w:tblStylePr w:type="band1Horz">
      <w:tblPr/>
      <w:tcPr>
        <w:tcBorders>
          <w:insideH w:val="nil"/>
          <w:insideV w:val="nil"/>
        </w:tcBorders>
        <w:shd w:val="clear" w:color="auto" w:fill="DFD8E8" w:themeFill="accent4" w:themeFillTint="3F"/>
      </w:tcPr>
    </w:tblStylePr>
    <w:tblStylePr w:type="band2Horz">
      <w:tblPr/>
      <w:tcPr>
        <w:tcBorders>
          <w:insideH w:val="nil"/>
          <w:insideV w:val="nil"/>
        </w:tcBorders>
      </w:tcPr>
    </w:tblStylePr>
  </w:style>
  <w:style w:type="table" w:styleId="MediumShading1-Accent5">
    <w:name w:val="Medium Shading 1 Accent 5"/>
    <w:basedOn w:val="TableNormal"/>
    <w:uiPriority w:val="63"/>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tblBorders>
    </w:tblPr>
    <w:tblStylePr w:type="firstRow">
      <w:pPr>
        <w:spacing w:before="0" w:after="0" w:line="240" w:lineRule="auto"/>
      </w:pPr>
      <w:rPr>
        <w:b/>
        <w:bCs/>
        <w:color w:val="FFFFFF" w:themeColor="background1"/>
      </w:rPr>
      <w:tblPr/>
      <w:tcPr>
        <w:tc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shd w:val="clear" w:color="auto" w:fill="4BACC6" w:themeFill="accent5"/>
      </w:tcPr>
    </w:tblStylePr>
    <w:tblStylePr w:type="lastRow">
      <w:pPr>
        <w:spacing w:before="0" w:after="0" w:line="240" w:lineRule="auto"/>
      </w:pPr>
      <w:rPr>
        <w:b/>
        <w:bCs/>
      </w:rPr>
      <w:tblPr/>
      <w:tcPr>
        <w:tcBorders>
          <w:top w:val="double" w:sz="6"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nil"/>
          <w:insideV w:val="nil"/>
        </w:tcBorders>
      </w:tcPr>
    </w:tblStylePr>
    <w:tblStylePr w:type="firstCol">
      <w:rPr>
        <w:b/>
        <w:bCs/>
      </w:rPr>
    </w:tblStylePr>
    <w:tblStylePr w:type="lastCol">
      <w:rPr>
        <w:b/>
        <w:bCs/>
      </w:rPr>
    </w:tblStylePr>
    <w:tblStylePr w:type="band1Vert">
      <w:tblPr/>
      <w:tcPr>
        <w:shd w:val="clear" w:color="auto" w:fill="D2EAF1" w:themeFill="accent5" w:themeFillTint="3F"/>
      </w:tcPr>
    </w:tblStylePr>
    <w:tblStylePr w:type="band1Horz">
      <w:tblPr/>
      <w:tcPr>
        <w:tcBorders>
          <w:insideH w:val="nil"/>
          <w:insideV w:val="nil"/>
        </w:tcBorders>
        <w:shd w:val="clear" w:color="auto" w:fill="D2EAF1" w:themeFill="accent5" w:themeFillTint="3F"/>
      </w:tcPr>
    </w:tblStylePr>
    <w:tblStylePr w:type="band2Horz">
      <w:tblPr/>
      <w:tcPr>
        <w:tcBorders>
          <w:insideH w:val="nil"/>
          <w:insideV w:val="nil"/>
        </w:tcBorders>
      </w:tcPr>
    </w:tblStylePr>
  </w:style>
  <w:style w:type="table" w:styleId="MediumShading1-Accent6">
    <w:name w:val="Medium Shading 1 Accent 6"/>
    <w:basedOn w:val="TableNormal"/>
    <w:uiPriority w:val="63"/>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tblBorders>
    </w:tblPr>
    <w:tblStylePr w:type="firstRow">
      <w:pPr>
        <w:spacing w:before="0" w:after="0" w:line="240" w:lineRule="auto"/>
      </w:pPr>
      <w:rPr>
        <w:b/>
        <w:bCs/>
        <w:color w:val="FFFFFF" w:themeColor="background1"/>
      </w:rPr>
      <w:tblPr/>
      <w:tcPr>
        <w:tc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shd w:val="clear" w:color="auto" w:fill="F79646" w:themeFill="accent6"/>
      </w:tcPr>
    </w:tblStylePr>
    <w:tblStylePr w:type="lastRow">
      <w:pPr>
        <w:spacing w:before="0" w:after="0" w:line="240" w:lineRule="auto"/>
      </w:pPr>
      <w:rPr>
        <w:b/>
        <w:bCs/>
      </w:rPr>
      <w:tblPr/>
      <w:tcPr>
        <w:tcBorders>
          <w:top w:val="double" w:sz="6"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nil"/>
          <w:insideV w:val="nil"/>
        </w:tcBorders>
      </w:tcPr>
    </w:tblStylePr>
    <w:tblStylePr w:type="firstCol">
      <w:rPr>
        <w:b/>
        <w:bCs/>
      </w:rPr>
    </w:tblStylePr>
    <w:tblStylePr w:type="lastCol">
      <w:rPr>
        <w:b/>
        <w:bCs/>
      </w:rPr>
    </w:tblStylePr>
    <w:tblStylePr w:type="band1Vert">
      <w:tblPr/>
      <w:tcPr>
        <w:shd w:val="clear" w:color="auto" w:fill="FDE4D0" w:themeFill="accent6" w:themeFillTint="3F"/>
      </w:tcPr>
    </w:tblStylePr>
    <w:tblStylePr w:type="band1Horz">
      <w:tblPr/>
      <w:tcPr>
        <w:tcBorders>
          <w:insideH w:val="nil"/>
          <w:insideV w:val="nil"/>
        </w:tcBorders>
        <w:shd w:val="clear" w:color="auto" w:fill="FDE4D0" w:themeFill="accent6" w:themeFillTint="3F"/>
      </w:tcPr>
    </w:tblStylePr>
    <w:tblStylePr w:type="band2Horz">
      <w:tblPr/>
      <w:tcPr>
        <w:tcBorders>
          <w:insideH w:val="nil"/>
          <w:insideV w:val="nil"/>
        </w:tcBorders>
      </w:tcPr>
    </w:tblStylePr>
  </w:style>
  <w:style w:type="table" w:styleId="MediumShading2">
    <w:name w:val="Medium Shading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1">
    <w:name w:val="Medium Shading 2 Accent 1"/>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2">
    <w:name w:val="Medium Shading 2 Accent 2"/>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C0504D" w:themeFill="accent2"/>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C0504D" w:themeFill="accent2"/>
      </w:tcPr>
    </w:tblStylePr>
    <w:tblStylePr w:type="lastCol">
      <w:rPr>
        <w:b/>
        <w:bCs/>
        <w:color w:val="FFFFFF" w:themeColor="background1"/>
      </w:rPr>
      <w:tblPr/>
      <w:tcPr>
        <w:tcBorders>
          <w:left w:val="nil"/>
          <w:right w:val="nil"/>
          <w:insideH w:val="nil"/>
          <w:insideV w:val="nil"/>
        </w:tcBorders>
        <w:shd w:val="clear" w:color="auto" w:fill="C0504D" w:themeFill="accent2"/>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3">
    <w:name w:val="Medium Shading 2 Accent 3"/>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9BBB59" w:themeFill="accent3"/>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9BBB59" w:themeFill="accent3"/>
      </w:tcPr>
    </w:tblStylePr>
    <w:tblStylePr w:type="lastCol">
      <w:rPr>
        <w:b/>
        <w:bCs/>
        <w:color w:val="FFFFFF" w:themeColor="background1"/>
      </w:rPr>
      <w:tblPr/>
      <w:tcPr>
        <w:tcBorders>
          <w:left w:val="nil"/>
          <w:right w:val="nil"/>
          <w:insideH w:val="nil"/>
          <w:insideV w:val="nil"/>
        </w:tcBorders>
        <w:shd w:val="clear" w:color="auto" w:fill="9BBB59" w:themeFill="accent3"/>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4">
    <w:name w:val="Medium Shading 2 Accent 4"/>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8064A2" w:themeFill="accent4"/>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8064A2" w:themeFill="accent4"/>
      </w:tcPr>
    </w:tblStylePr>
    <w:tblStylePr w:type="lastCol">
      <w:rPr>
        <w:b/>
        <w:bCs/>
        <w:color w:val="FFFFFF" w:themeColor="background1"/>
      </w:rPr>
      <w:tblPr/>
      <w:tcPr>
        <w:tcBorders>
          <w:left w:val="nil"/>
          <w:right w:val="nil"/>
          <w:insideH w:val="nil"/>
          <w:insideV w:val="nil"/>
        </w:tcBorders>
        <w:shd w:val="clear" w:color="auto" w:fill="8064A2" w:themeFill="accent4"/>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5">
    <w:name w:val="Medium Shading 2 Accent 5"/>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BACC6" w:themeFill="accent5"/>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BACC6" w:themeFill="accent5"/>
      </w:tcPr>
    </w:tblStylePr>
    <w:tblStylePr w:type="lastCol">
      <w:rPr>
        <w:b/>
        <w:bCs/>
        <w:color w:val="FFFFFF" w:themeColor="background1"/>
      </w:rPr>
      <w:tblPr/>
      <w:tcPr>
        <w:tcBorders>
          <w:left w:val="nil"/>
          <w:right w:val="nil"/>
          <w:insideH w:val="nil"/>
          <w:insideV w:val="nil"/>
        </w:tcBorders>
        <w:shd w:val="clear" w:color="auto" w:fill="4BACC6" w:themeFill="accent5"/>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Shading2-Accent6">
    <w:name w:val="Medium Shading 2 Accent 6"/>
    <w:basedOn w:val="TableNormal"/>
    <w:uiPriority w:val="64"/>
    <w:rsid w:val="00CB0664"/>
    <w:pPr>
      <w:spacing w:after="0" w:line="240" w:lineRule="auto"/>
    </w:pPr>
    <w:rPr>
      <w:lang w:val="sv-SE" w:eastAsia="en-US" w:bidi="ar-SA"/>
    </w:rPr>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F79646" w:themeFill="accent6"/>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F79646" w:themeFill="accent6"/>
      </w:tcPr>
    </w:tblStylePr>
    <w:tblStylePr w:type="lastCol">
      <w:rPr>
        <w:b/>
        <w:bCs/>
        <w:color w:val="FFFFFF" w:themeColor="background1"/>
      </w:rPr>
      <w:tblPr/>
      <w:tcPr>
        <w:tcBorders>
          <w:left w:val="nil"/>
          <w:right w:val="nil"/>
          <w:insideH w:val="nil"/>
          <w:insideV w:val="nil"/>
        </w:tcBorders>
        <w:shd w:val="clear" w:color="auto" w:fill="F79646" w:themeFill="accent6"/>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ediumList1">
    <w:name w:val="Medium Lis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ediumList1-Accent1">
    <w:name w:val="Medium List 1 Accent 1"/>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ediumList1-Accent2">
    <w:name w:val="Medium List 1 Accent 2"/>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C0504D" w:themeColor="accent2"/>
        <w:bottom w:val="single" w:sz="8" w:space="0" w:color="C0504D" w:themeColor="accent2"/>
      </w:tblBorders>
    </w:tblPr>
    <w:tblStylePr w:type="firstRow">
      <w:rPr>
        <w:rFonts w:asciiTheme="majorHAnsi" w:eastAsiaTheme="majorEastAsia" w:hAnsiTheme="majorHAnsi" w:cstheme="majorBidi"/>
      </w:rPr>
      <w:tblPr/>
      <w:tcPr>
        <w:tcBorders>
          <w:top w:val="nil"/>
          <w:bottom w:val="single" w:sz="8" w:space="0" w:color="C0504D" w:themeColor="accent2"/>
        </w:tcBorders>
      </w:tcPr>
    </w:tblStylePr>
    <w:tblStylePr w:type="lastRow">
      <w:rPr>
        <w:b/>
        <w:bCs/>
        <w:color w:val="1F497D" w:themeColor="text2"/>
      </w:rPr>
      <w:tblPr/>
      <w:tcPr>
        <w:tcBorders>
          <w:top w:val="single" w:sz="8" w:space="0" w:color="C0504D" w:themeColor="accent2"/>
          <w:bottom w:val="single" w:sz="8" w:space="0" w:color="C0504D" w:themeColor="accent2"/>
        </w:tcBorders>
      </w:tcPr>
    </w:tblStylePr>
    <w:tblStylePr w:type="firstCol">
      <w:rPr>
        <w:b/>
        <w:bCs/>
      </w:rPr>
    </w:tblStylePr>
    <w:tblStylePr w:type="lastCol">
      <w:rPr>
        <w:b/>
        <w:bCs/>
      </w:rPr>
      <w:tblPr/>
      <w:tcPr>
        <w:tcBorders>
          <w:top w:val="single" w:sz="8" w:space="0" w:color="C0504D" w:themeColor="accent2"/>
          <w:bottom w:val="single" w:sz="8" w:space="0" w:color="C0504D" w:themeColor="accent2"/>
        </w:tcBorders>
      </w:tcPr>
    </w:tblStylePr>
    <w:tblStylePr w:type="band1Vert">
      <w:tblPr/>
      <w:tcPr>
        <w:shd w:val="clear" w:color="auto" w:fill="EFD3D2" w:themeFill="accent2" w:themeFillTint="3F"/>
      </w:tcPr>
    </w:tblStylePr>
    <w:tblStylePr w:type="band1Horz">
      <w:tblPr/>
      <w:tcPr>
        <w:shd w:val="clear" w:color="auto" w:fill="EFD3D2" w:themeFill="accent2" w:themeFillTint="3F"/>
      </w:tcPr>
    </w:tblStylePr>
  </w:style>
  <w:style w:type="table" w:styleId="MediumList1-Accent3">
    <w:name w:val="Medium List 1 Accent 3"/>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9BBB59" w:themeColor="accent3"/>
        <w:bottom w:val="single" w:sz="8" w:space="0" w:color="9BBB59" w:themeColor="accent3"/>
      </w:tblBorders>
    </w:tblPr>
    <w:tblStylePr w:type="firstRow">
      <w:rPr>
        <w:rFonts w:asciiTheme="majorHAnsi" w:eastAsiaTheme="majorEastAsia" w:hAnsiTheme="majorHAnsi" w:cstheme="majorBidi"/>
      </w:rPr>
      <w:tblPr/>
      <w:tcPr>
        <w:tcBorders>
          <w:top w:val="nil"/>
          <w:bottom w:val="single" w:sz="8" w:space="0" w:color="9BBB59" w:themeColor="accent3"/>
        </w:tcBorders>
      </w:tcPr>
    </w:tblStylePr>
    <w:tblStylePr w:type="lastRow">
      <w:rPr>
        <w:b/>
        <w:bCs/>
        <w:color w:val="1F497D" w:themeColor="text2"/>
      </w:rPr>
      <w:tblPr/>
      <w:tcPr>
        <w:tcBorders>
          <w:top w:val="single" w:sz="8" w:space="0" w:color="9BBB59" w:themeColor="accent3"/>
          <w:bottom w:val="single" w:sz="8" w:space="0" w:color="9BBB59" w:themeColor="accent3"/>
        </w:tcBorders>
      </w:tcPr>
    </w:tblStylePr>
    <w:tblStylePr w:type="firstCol">
      <w:rPr>
        <w:b/>
        <w:bCs/>
      </w:rPr>
    </w:tblStylePr>
    <w:tblStylePr w:type="lastCol">
      <w:rPr>
        <w:b/>
        <w:bCs/>
      </w:rPr>
      <w:tblPr/>
      <w:tcPr>
        <w:tcBorders>
          <w:top w:val="single" w:sz="8" w:space="0" w:color="9BBB59" w:themeColor="accent3"/>
          <w:bottom w:val="single" w:sz="8" w:space="0" w:color="9BBB59" w:themeColor="accent3"/>
        </w:tcBorders>
      </w:tcPr>
    </w:tblStylePr>
    <w:tblStylePr w:type="band1Vert">
      <w:tblPr/>
      <w:tcPr>
        <w:shd w:val="clear" w:color="auto" w:fill="E6EED5" w:themeFill="accent3" w:themeFillTint="3F"/>
      </w:tcPr>
    </w:tblStylePr>
    <w:tblStylePr w:type="band1Horz">
      <w:tblPr/>
      <w:tcPr>
        <w:shd w:val="clear" w:color="auto" w:fill="E6EED5" w:themeFill="accent3" w:themeFillTint="3F"/>
      </w:tcPr>
    </w:tblStylePr>
  </w:style>
  <w:style w:type="table" w:styleId="MediumList1-Accent4">
    <w:name w:val="Medium List 1 Accent 4"/>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8064A2" w:themeColor="accent4"/>
        <w:bottom w:val="single" w:sz="8" w:space="0" w:color="8064A2" w:themeColor="accent4"/>
      </w:tblBorders>
    </w:tblPr>
    <w:tblStylePr w:type="firstRow">
      <w:rPr>
        <w:rFonts w:asciiTheme="majorHAnsi" w:eastAsiaTheme="majorEastAsia" w:hAnsiTheme="majorHAnsi" w:cstheme="majorBidi"/>
      </w:rPr>
      <w:tblPr/>
      <w:tcPr>
        <w:tcBorders>
          <w:top w:val="nil"/>
          <w:bottom w:val="single" w:sz="8" w:space="0" w:color="8064A2" w:themeColor="accent4"/>
        </w:tcBorders>
      </w:tcPr>
    </w:tblStylePr>
    <w:tblStylePr w:type="lastRow">
      <w:rPr>
        <w:b/>
        <w:bCs/>
        <w:color w:val="1F497D" w:themeColor="text2"/>
      </w:rPr>
      <w:tblPr/>
      <w:tcPr>
        <w:tcBorders>
          <w:top w:val="single" w:sz="8" w:space="0" w:color="8064A2" w:themeColor="accent4"/>
          <w:bottom w:val="single" w:sz="8" w:space="0" w:color="8064A2" w:themeColor="accent4"/>
        </w:tcBorders>
      </w:tcPr>
    </w:tblStylePr>
    <w:tblStylePr w:type="firstCol">
      <w:rPr>
        <w:b/>
        <w:bCs/>
      </w:rPr>
    </w:tblStylePr>
    <w:tblStylePr w:type="lastCol">
      <w:rPr>
        <w:b/>
        <w:bCs/>
      </w:rPr>
      <w:tblPr/>
      <w:tcPr>
        <w:tcBorders>
          <w:top w:val="single" w:sz="8" w:space="0" w:color="8064A2" w:themeColor="accent4"/>
          <w:bottom w:val="single" w:sz="8" w:space="0" w:color="8064A2" w:themeColor="accent4"/>
        </w:tcBorders>
      </w:tcPr>
    </w:tblStylePr>
    <w:tblStylePr w:type="band1Vert">
      <w:tblPr/>
      <w:tcPr>
        <w:shd w:val="clear" w:color="auto" w:fill="DFD8E8" w:themeFill="accent4" w:themeFillTint="3F"/>
      </w:tcPr>
    </w:tblStylePr>
    <w:tblStylePr w:type="band1Horz">
      <w:tblPr/>
      <w:tcPr>
        <w:shd w:val="clear" w:color="auto" w:fill="DFD8E8" w:themeFill="accent4" w:themeFillTint="3F"/>
      </w:tcPr>
    </w:tblStylePr>
  </w:style>
  <w:style w:type="table" w:styleId="MediumList1-Accent5">
    <w:name w:val="Medium List 1 Accent 5"/>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4BACC6" w:themeColor="accent5"/>
        <w:bottom w:val="single" w:sz="8" w:space="0" w:color="4BACC6" w:themeColor="accent5"/>
      </w:tblBorders>
    </w:tblPr>
    <w:tblStylePr w:type="firstRow">
      <w:rPr>
        <w:rFonts w:asciiTheme="majorHAnsi" w:eastAsiaTheme="majorEastAsia" w:hAnsiTheme="majorHAnsi" w:cstheme="majorBidi"/>
      </w:rPr>
      <w:tblPr/>
      <w:tcPr>
        <w:tcBorders>
          <w:top w:val="nil"/>
          <w:bottom w:val="single" w:sz="8" w:space="0" w:color="4BACC6" w:themeColor="accent5"/>
        </w:tcBorders>
      </w:tcPr>
    </w:tblStylePr>
    <w:tblStylePr w:type="lastRow">
      <w:rPr>
        <w:b/>
        <w:bCs/>
        <w:color w:val="1F497D" w:themeColor="text2"/>
      </w:rPr>
      <w:tblPr/>
      <w:tcPr>
        <w:tcBorders>
          <w:top w:val="single" w:sz="8" w:space="0" w:color="4BACC6" w:themeColor="accent5"/>
          <w:bottom w:val="single" w:sz="8" w:space="0" w:color="4BACC6" w:themeColor="accent5"/>
        </w:tcBorders>
      </w:tcPr>
    </w:tblStylePr>
    <w:tblStylePr w:type="firstCol">
      <w:rPr>
        <w:b/>
        <w:bCs/>
      </w:rPr>
    </w:tblStylePr>
    <w:tblStylePr w:type="lastCol">
      <w:rPr>
        <w:b/>
        <w:bCs/>
      </w:rPr>
      <w:tblPr/>
      <w:tcPr>
        <w:tcBorders>
          <w:top w:val="single" w:sz="8" w:space="0" w:color="4BACC6" w:themeColor="accent5"/>
          <w:bottom w:val="single" w:sz="8" w:space="0" w:color="4BACC6" w:themeColor="accent5"/>
        </w:tcBorders>
      </w:tcPr>
    </w:tblStylePr>
    <w:tblStylePr w:type="band1Vert">
      <w:tblPr/>
      <w:tcPr>
        <w:shd w:val="clear" w:color="auto" w:fill="D2EAF1" w:themeFill="accent5" w:themeFillTint="3F"/>
      </w:tcPr>
    </w:tblStylePr>
    <w:tblStylePr w:type="band1Horz">
      <w:tblPr/>
      <w:tcPr>
        <w:shd w:val="clear" w:color="auto" w:fill="D2EAF1" w:themeFill="accent5" w:themeFillTint="3F"/>
      </w:tcPr>
    </w:tblStylePr>
  </w:style>
  <w:style w:type="table" w:styleId="MediumList1-Accent6">
    <w:name w:val="Medium List 1 Accent 6"/>
    <w:basedOn w:val="TableNormal"/>
    <w:uiPriority w:val="65"/>
    <w:rsid w:val="00CB0664"/>
    <w:pPr>
      <w:spacing w:after="0" w:line="240" w:lineRule="auto"/>
    </w:pPr>
    <w:rPr>
      <w:color w:val="000000" w:themeColor="text1"/>
      <w:lang w:val="sv-SE" w:eastAsia="en-US" w:bidi="ar-SA"/>
    </w:rPr>
    <w:tblPr>
      <w:tblStyleRowBandSize w:val="1"/>
      <w:tblStyleColBandSize w:val="1"/>
      <w:tblBorders>
        <w:top w:val="single" w:sz="8" w:space="0" w:color="F79646" w:themeColor="accent6"/>
        <w:bottom w:val="single" w:sz="8" w:space="0" w:color="F79646" w:themeColor="accent6"/>
      </w:tblBorders>
    </w:tblPr>
    <w:tblStylePr w:type="firstRow">
      <w:rPr>
        <w:rFonts w:asciiTheme="majorHAnsi" w:eastAsiaTheme="majorEastAsia" w:hAnsiTheme="majorHAnsi" w:cstheme="majorBidi"/>
      </w:rPr>
      <w:tblPr/>
      <w:tcPr>
        <w:tcBorders>
          <w:top w:val="nil"/>
          <w:bottom w:val="single" w:sz="8" w:space="0" w:color="F79646" w:themeColor="accent6"/>
        </w:tcBorders>
      </w:tcPr>
    </w:tblStylePr>
    <w:tblStylePr w:type="lastRow">
      <w:rPr>
        <w:b/>
        <w:bCs/>
        <w:color w:val="1F497D" w:themeColor="text2"/>
      </w:rPr>
      <w:tblPr/>
      <w:tcPr>
        <w:tcBorders>
          <w:top w:val="single" w:sz="8" w:space="0" w:color="F79646" w:themeColor="accent6"/>
          <w:bottom w:val="single" w:sz="8" w:space="0" w:color="F79646" w:themeColor="accent6"/>
        </w:tcBorders>
      </w:tcPr>
    </w:tblStylePr>
    <w:tblStylePr w:type="firstCol">
      <w:rPr>
        <w:b/>
        <w:bCs/>
      </w:rPr>
    </w:tblStylePr>
    <w:tblStylePr w:type="lastCol">
      <w:rPr>
        <w:b/>
        <w:bCs/>
      </w:rPr>
      <w:tblPr/>
      <w:tcPr>
        <w:tcBorders>
          <w:top w:val="single" w:sz="8" w:space="0" w:color="F79646" w:themeColor="accent6"/>
          <w:bottom w:val="single" w:sz="8" w:space="0" w:color="F79646" w:themeColor="accent6"/>
        </w:tcBorders>
      </w:tcPr>
    </w:tblStylePr>
    <w:tblStylePr w:type="band1Vert">
      <w:tblPr/>
      <w:tcPr>
        <w:shd w:val="clear" w:color="auto" w:fill="FDE4D0" w:themeFill="accent6" w:themeFillTint="3F"/>
      </w:tcPr>
    </w:tblStylePr>
    <w:tblStylePr w:type="band1Horz">
      <w:tblPr/>
      <w:tcPr>
        <w:shd w:val="clear" w:color="auto" w:fill="FDE4D0" w:themeFill="accent6" w:themeFillTint="3F"/>
      </w:tcPr>
    </w:tblStylePr>
  </w:style>
  <w:style w:type="table" w:styleId="MediumList2">
    <w:name w:val="Medium Lis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1">
    <w:name w:val="Medium List 2 Accent 1"/>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rPr>
        <w:sz w:val="24"/>
        <w:szCs w:val="24"/>
      </w:rPr>
      <w:tblPr/>
      <w:tcPr>
        <w:tcBorders>
          <w:top w:val="nil"/>
          <w:left w:val="nil"/>
          <w:bottom w:val="single" w:sz="24" w:space="0" w:color="4F81BD" w:themeColor="accent1"/>
          <w:right w:val="nil"/>
          <w:insideH w:val="nil"/>
          <w:insideV w:val="nil"/>
        </w:tcBorders>
        <w:shd w:val="clear" w:color="auto" w:fill="FFFFFF" w:themeFill="background1"/>
      </w:tcPr>
    </w:tblStylePr>
    <w:tblStylePr w:type="lastRow">
      <w:tblPr/>
      <w:tcPr>
        <w:tcBorders>
          <w:top w:val="single" w:sz="8" w:space="0" w:color="4F81BD" w:themeColor="accen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F81BD" w:themeColor="accent1"/>
          <w:insideH w:val="nil"/>
          <w:insideV w:val="nil"/>
        </w:tcBorders>
        <w:shd w:val="clear" w:color="auto" w:fill="FFFFFF" w:themeFill="background1"/>
      </w:tcPr>
    </w:tblStylePr>
    <w:tblStylePr w:type="lastCol">
      <w:tblPr/>
      <w:tcPr>
        <w:tcBorders>
          <w:top w:val="nil"/>
          <w:left w:val="single" w:sz="8" w:space="0" w:color="4F81BD" w:themeColor="accen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top w:val="nil"/>
          <w:bottom w:val="nil"/>
          <w:insideH w:val="nil"/>
          <w:insideV w:val="nil"/>
        </w:tcBorders>
        <w:shd w:val="clear" w:color="auto" w:fill="D3DFEE" w:themeFill="accent1"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2">
    <w:name w:val="Medium List 2 Accent 2"/>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tblBorders>
    </w:tblPr>
    <w:tblStylePr w:type="firstRow">
      <w:rPr>
        <w:sz w:val="24"/>
        <w:szCs w:val="24"/>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tblPr/>
      <w:tcPr>
        <w:tcBorders>
          <w:top w:val="single" w:sz="8" w:space="0" w:color="C0504D" w:themeColor="accent2"/>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C0504D" w:themeColor="accent2"/>
          <w:insideH w:val="nil"/>
          <w:insideV w:val="nil"/>
        </w:tcBorders>
        <w:shd w:val="clear" w:color="auto" w:fill="FFFFFF" w:themeFill="background1"/>
      </w:tcPr>
    </w:tblStylePr>
    <w:tblStylePr w:type="lastCol">
      <w:tblPr/>
      <w:tcPr>
        <w:tcBorders>
          <w:top w:val="nil"/>
          <w:left w:val="single" w:sz="8" w:space="0" w:color="C0504D" w:themeColor="accent2"/>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FD3D2" w:themeFill="accent2" w:themeFillTint="3F"/>
      </w:tcPr>
    </w:tblStylePr>
    <w:tblStylePr w:type="band1Horz">
      <w:tblPr/>
      <w:tcPr>
        <w:tcBorders>
          <w:top w:val="nil"/>
          <w:bottom w:val="nil"/>
          <w:insideH w:val="nil"/>
          <w:insideV w:val="nil"/>
        </w:tcBorders>
        <w:shd w:val="clear" w:color="auto" w:fill="EFD3D2" w:themeFill="accent2"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3">
    <w:name w:val="Medium List 2 Accent 3"/>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rPr>
        <w:sz w:val="24"/>
        <w:szCs w:val="24"/>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tblPr/>
      <w:tcPr>
        <w:tcBorders>
          <w:top w:val="single" w:sz="8" w:space="0" w:color="9BBB59" w:themeColor="accent3"/>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9BBB59" w:themeColor="accent3"/>
          <w:insideH w:val="nil"/>
          <w:insideV w:val="nil"/>
        </w:tcBorders>
        <w:shd w:val="clear" w:color="auto" w:fill="FFFFFF" w:themeFill="background1"/>
      </w:tcPr>
    </w:tblStylePr>
    <w:tblStylePr w:type="lastCol">
      <w:tblPr/>
      <w:tcPr>
        <w:tcBorders>
          <w:top w:val="nil"/>
          <w:left w:val="single" w:sz="8" w:space="0" w:color="9BBB59" w:themeColor="accent3"/>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E6EED5" w:themeFill="accent3" w:themeFillTint="3F"/>
      </w:tcPr>
    </w:tblStylePr>
    <w:tblStylePr w:type="band1Horz">
      <w:tblPr/>
      <w:tcPr>
        <w:tcBorders>
          <w:top w:val="nil"/>
          <w:bottom w:val="nil"/>
          <w:insideH w:val="nil"/>
          <w:insideV w:val="nil"/>
        </w:tcBorders>
        <w:shd w:val="clear" w:color="auto" w:fill="E6EED5" w:themeFill="accent3"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4">
    <w:name w:val="Medium List 2 Accent 4"/>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tblBorders>
    </w:tblPr>
    <w:tblStylePr w:type="firstRow">
      <w:rPr>
        <w:sz w:val="24"/>
        <w:szCs w:val="24"/>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tblPr/>
      <w:tcPr>
        <w:tcBorders>
          <w:top w:val="single" w:sz="8" w:space="0" w:color="8064A2" w:themeColor="accent4"/>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8064A2" w:themeColor="accent4"/>
          <w:insideH w:val="nil"/>
          <w:insideV w:val="nil"/>
        </w:tcBorders>
        <w:shd w:val="clear" w:color="auto" w:fill="FFFFFF" w:themeFill="background1"/>
      </w:tcPr>
    </w:tblStylePr>
    <w:tblStylePr w:type="lastCol">
      <w:tblPr/>
      <w:tcPr>
        <w:tcBorders>
          <w:top w:val="nil"/>
          <w:left w:val="single" w:sz="8" w:space="0" w:color="8064A2" w:themeColor="accent4"/>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FD8E8" w:themeFill="accent4" w:themeFillTint="3F"/>
      </w:tcPr>
    </w:tblStylePr>
    <w:tblStylePr w:type="band1Horz">
      <w:tblPr/>
      <w:tcPr>
        <w:tcBorders>
          <w:top w:val="nil"/>
          <w:bottom w:val="nil"/>
          <w:insideH w:val="nil"/>
          <w:insideV w:val="nil"/>
        </w:tcBorders>
        <w:shd w:val="clear" w:color="auto" w:fill="DFD8E8" w:themeFill="accent4"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5">
    <w:name w:val="Medium List 2 Accent 5"/>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rPr>
        <w:sz w:val="24"/>
        <w:szCs w:val="24"/>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tblPr/>
      <w:tcPr>
        <w:tcBorders>
          <w:top w:val="single" w:sz="8" w:space="0" w:color="4BACC6" w:themeColor="accent5"/>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4BACC6" w:themeColor="accent5"/>
          <w:insideH w:val="nil"/>
          <w:insideV w:val="nil"/>
        </w:tcBorders>
        <w:shd w:val="clear" w:color="auto" w:fill="FFFFFF" w:themeFill="background1"/>
      </w:tcPr>
    </w:tblStylePr>
    <w:tblStylePr w:type="lastCol">
      <w:tblPr/>
      <w:tcPr>
        <w:tcBorders>
          <w:top w:val="nil"/>
          <w:left w:val="single" w:sz="8" w:space="0" w:color="4BACC6" w:themeColor="accent5"/>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D2EAF1" w:themeFill="accent5" w:themeFillTint="3F"/>
      </w:tcPr>
    </w:tblStylePr>
    <w:tblStylePr w:type="band1Horz">
      <w:tblPr/>
      <w:tcPr>
        <w:tcBorders>
          <w:top w:val="nil"/>
          <w:bottom w:val="nil"/>
          <w:insideH w:val="nil"/>
          <w:insideV w:val="nil"/>
        </w:tcBorders>
        <w:shd w:val="clear" w:color="auto" w:fill="D2EAF1" w:themeFill="accent5"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List2-Accent6">
    <w:name w:val="Medium List 2 Accent 6"/>
    <w:basedOn w:val="TableNormal"/>
    <w:uiPriority w:val="66"/>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rPr>
        <w:sz w:val="24"/>
        <w:szCs w:val="24"/>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tblPr/>
      <w:tcPr>
        <w:tcBorders>
          <w:top w:val="single" w:sz="8" w:space="0" w:color="F79646" w:themeColor="accent6"/>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F79646" w:themeColor="accent6"/>
          <w:insideH w:val="nil"/>
          <w:insideV w:val="nil"/>
        </w:tcBorders>
        <w:shd w:val="clear" w:color="auto" w:fill="FFFFFF" w:themeFill="background1"/>
      </w:tcPr>
    </w:tblStylePr>
    <w:tblStylePr w:type="lastCol">
      <w:tblPr/>
      <w:tcPr>
        <w:tcBorders>
          <w:top w:val="nil"/>
          <w:left w:val="single" w:sz="8" w:space="0" w:color="F79646" w:themeColor="accent6"/>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FDE4D0" w:themeFill="accent6" w:themeFillTint="3F"/>
      </w:tcPr>
    </w:tblStylePr>
    <w:tblStylePr w:type="band1Horz">
      <w:tblPr/>
      <w:tcPr>
        <w:tcBorders>
          <w:top w:val="nil"/>
          <w:bottom w:val="nil"/>
          <w:insideH w:val="nil"/>
          <w:insideV w:val="nil"/>
        </w:tcBorders>
        <w:shd w:val="clear" w:color="auto" w:fill="FDE4D0" w:themeFill="accent6" w:themeFillTint="3F"/>
      </w:tcPr>
    </w:tblStylePr>
    <w:tblStylePr w:type="nwCell">
      <w:tblPr/>
      <w:tcPr>
        <w:shd w:val="clear" w:color="auto" w:fill="FFFFFF" w:themeFill="background1"/>
      </w:tcPr>
    </w:tblStylePr>
    <w:tblStylePr w:type="swCell">
      <w:tblPr/>
      <w:tcPr>
        <w:tcBorders>
          <w:top w:val="nil"/>
        </w:tcBorders>
      </w:tcPr>
    </w:tblStylePr>
  </w:style>
  <w:style w:type="table" w:styleId="MediumGrid1">
    <w:name w:val="Medium Grid 1"/>
    <w:basedOn w:val="TableNormal"/>
    <w:uiPriority w:val="67"/>
    <w:rsid w:val="00CB0664"/>
    <w:pPr>
      <w:spacing w:after="0" w:line="240" w:lineRule="auto"/>
    </w:pPr>
    <w:rPr>
      <w:lang w:val="sv-SE" w:eastAsia="en-US" w:bidi="ar-SA"/>
    </w:rPr>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ediumGrid1-Accent1">
    <w:name w:val="Medium Grid 1 Accent 1"/>
    <w:basedOn w:val="TableNormal"/>
    <w:uiPriority w:val="67"/>
    <w:rsid w:val="00CB0664"/>
    <w:pPr>
      <w:spacing w:after="0" w:line="240" w:lineRule="auto"/>
    </w:pPr>
    <w:rPr>
      <w:lang w:val="sv-SE" w:eastAsia="en-US" w:bidi="ar-SA"/>
    </w:rPr>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insideV w:val="single" w:sz="8" w:space="0" w:color="7BA0CD" w:themeColor="accent1" w:themeTint="BF"/>
      </w:tblBorders>
    </w:tblPr>
    <w:tcPr>
      <w:shd w:val="clear" w:color="auto" w:fill="D3DFEE" w:themeFill="accent1" w:themeFillTint="3F"/>
    </w:tcPr>
    <w:tblStylePr w:type="firstRow">
      <w:rPr>
        <w:b/>
        <w:bCs/>
      </w:rPr>
    </w:tblStylePr>
    <w:tblStylePr w:type="lastRow">
      <w:rPr>
        <w:b/>
        <w:bCs/>
      </w:rPr>
      <w:tblPr/>
      <w:tcPr>
        <w:tcBorders>
          <w:top w:val="single" w:sz="18" w:space="0" w:color="7BA0CD" w:themeColor="accent1" w:themeTint="BF"/>
        </w:tcBorders>
      </w:tcPr>
    </w:tblStylePr>
    <w:tblStylePr w:type="firstCol">
      <w:rPr>
        <w:b/>
        <w:bCs/>
      </w:rPr>
    </w:tblStylePr>
    <w:tblStylePr w:type="lastCol">
      <w:rPr>
        <w:b/>
        <w:bCs/>
      </w:r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MediumGrid1-Accent2">
    <w:name w:val="Medium Grid 1 Accent 2"/>
    <w:basedOn w:val="TableNormal"/>
    <w:uiPriority w:val="67"/>
    <w:rsid w:val="00CB0664"/>
    <w:pPr>
      <w:spacing w:after="0" w:line="240" w:lineRule="auto"/>
    </w:pPr>
    <w:rPr>
      <w:lang w:val="sv-SE" w:eastAsia="en-US" w:bidi="ar-SA"/>
    </w:rPr>
    <w:tblPr>
      <w:tblStyleRowBandSize w:val="1"/>
      <w:tblStyleColBandSize w:val="1"/>
      <w:tblBorders>
        <w:top w:val="single" w:sz="8" w:space="0" w:color="CF7B79" w:themeColor="accent2" w:themeTint="BF"/>
        <w:left w:val="single" w:sz="8" w:space="0" w:color="CF7B79" w:themeColor="accent2" w:themeTint="BF"/>
        <w:bottom w:val="single" w:sz="8" w:space="0" w:color="CF7B79" w:themeColor="accent2" w:themeTint="BF"/>
        <w:right w:val="single" w:sz="8" w:space="0" w:color="CF7B79" w:themeColor="accent2" w:themeTint="BF"/>
        <w:insideH w:val="single" w:sz="8" w:space="0" w:color="CF7B79" w:themeColor="accent2" w:themeTint="BF"/>
        <w:insideV w:val="single" w:sz="8" w:space="0" w:color="CF7B79" w:themeColor="accent2" w:themeTint="BF"/>
      </w:tblBorders>
    </w:tblPr>
    <w:tcPr>
      <w:shd w:val="clear" w:color="auto" w:fill="EFD3D2" w:themeFill="accent2" w:themeFillTint="3F"/>
    </w:tcPr>
    <w:tblStylePr w:type="firstRow">
      <w:rPr>
        <w:b/>
        <w:bCs/>
      </w:rPr>
    </w:tblStylePr>
    <w:tblStylePr w:type="lastRow">
      <w:rPr>
        <w:b/>
        <w:bCs/>
      </w:rPr>
      <w:tblPr/>
      <w:tcPr>
        <w:tcBorders>
          <w:top w:val="single" w:sz="18" w:space="0" w:color="CF7B79" w:themeColor="accent2" w:themeTint="BF"/>
        </w:tcBorders>
      </w:tcPr>
    </w:tblStylePr>
    <w:tblStylePr w:type="firstCol">
      <w:rPr>
        <w:b/>
        <w:bCs/>
      </w:rPr>
    </w:tblStylePr>
    <w:tblStylePr w:type="lastCol">
      <w:rPr>
        <w:b/>
        <w:bCs/>
      </w:r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MediumGrid1-Accent3">
    <w:name w:val="Medium Grid 1 Accent 3"/>
    <w:basedOn w:val="TableNormal"/>
    <w:uiPriority w:val="67"/>
    <w:rsid w:val="00CB0664"/>
    <w:pPr>
      <w:spacing w:after="0" w:line="240" w:lineRule="auto"/>
    </w:pPr>
    <w:rPr>
      <w:lang w:val="sv-SE" w:eastAsia="en-US" w:bidi="ar-SA"/>
    </w:r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insideV w:val="single" w:sz="8" w:space="0" w:color="B3CC82" w:themeColor="accent3" w:themeTint="BF"/>
      </w:tblBorders>
    </w:tblPr>
    <w:tcPr>
      <w:shd w:val="clear" w:color="auto" w:fill="E6EED5" w:themeFill="accent3" w:themeFillTint="3F"/>
    </w:tcPr>
    <w:tblStylePr w:type="firstRow">
      <w:rPr>
        <w:b/>
        <w:bCs/>
      </w:rPr>
    </w:tblStylePr>
    <w:tblStylePr w:type="lastRow">
      <w:rPr>
        <w:b/>
        <w:bCs/>
      </w:rPr>
      <w:tblPr/>
      <w:tcPr>
        <w:tcBorders>
          <w:top w:val="single" w:sz="18" w:space="0" w:color="B3CC82" w:themeColor="accent3" w:themeTint="BF"/>
        </w:tcBorders>
      </w:tcPr>
    </w:tblStylePr>
    <w:tblStylePr w:type="firstCol">
      <w:rPr>
        <w:b/>
        <w:bCs/>
      </w:rPr>
    </w:tblStylePr>
    <w:tblStylePr w:type="lastCol">
      <w:rPr>
        <w:b/>
        <w:bCs/>
      </w:r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MediumGrid1-Accent4">
    <w:name w:val="Medium Grid 1 Accent 4"/>
    <w:basedOn w:val="TableNormal"/>
    <w:uiPriority w:val="67"/>
    <w:rsid w:val="00CB0664"/>
    <w:pPr>
      <w:spacing w:after="0" w:line="240" w:lineRule="auto"/>
    </w:pPr>
    <w:rPr>
      <w:lang w:val="sv-SE" w:eastAsia="en-US" w:bidi="ar-SA"/>
    </w:rPr>
    <w:tblPr>
      <w:tblStyleRowBandSize w:val="1"/>
      <w:tblStyleColBandSize w:val="1"/>
      <w:tblBorders>
        <w:top w:val="single" w:sz="8" w:space="0" w:color="9F8AB9" w:themeColor="accent4" w:themeTint="BF"/>
        <w:left w:val="single" w:sz="8" w:space="0" w:color="9F8AB9" w:themeColor="accent4" w:themeTint="BF"/>
        <w:bottom w:val="single" w:sz="8" w:space="0" w:color="9F8AB9" w:themeColor="accent4" w:themeTint="BF"/>
        <w:right w:val="single" w:sz="8" w:space="0" w:color="9F8AB9" w:themeColor="accent4" w:themeTint="BF"/>
        <w:insideH w:val="single" w:sz="8" w:space="0" w:color="9F8AB9" w:themeColor="accent4" w:themeTint="BF"/>
        <w:insideV w:val="single" w:sz="8" w:space="0" w:color="9F8AB9" w:themeColor="accent4" w:themeTint="BF"/>
      </w:tblBorders>
    </w:tblPr>
    <w:tcPr>
      <w:shd w:val="clear" w:color="auto" w:fill="DFD8E8" w:themeFill="accent4" w:themeFillTint="3F"/>
    </w:tcPr>
    <w:tblStylePr w:type="firstRow">
      <w:rPr>
        <w:b/>
        <w:bCs/>
      </w:rPr>
    </w:tblStylePr>
    <w:tblStylePr w:type="lastRow">
      <w:rPr>
        <w:b/>
        <w:bCs/>
      </w:rPr>
      <w:tblPr/>
      <w:tcPr>
        <w:tcBorders>
          <w:top w:val="single" w:sz="18" w:space="0" w:color="9F8AB9" w:themeColor="accent4" w:themeTint="BF"/>
        </w:tcBorders>
      </w:tcPr>
    </w:tblStylePr>
    <w:tblStylePr w:type="firstCol">
      <w:rPr>
        <w:b/>
        <w:bCs/>
      </w:rPr>
    </w:tblStylePr>
    <w:tblStylePr w:type="lastCol">
      <w:rPr>
        <w:b/>
        <w:bCs/>
      </w:r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MediumGrid1-Accent5">
    <w:name w:val="Medium Grid 1 Accent 5"/>
    <w:basedOn w:val="TableNormal"/>
    <w:uiPriority w:val="67"/>
    <w:rsid w:val="00CB0664"/>
    <w:pPr>
      <w:spacing w:after="0" w:line="240" w:lineRule="auto"/>
    </w:pPr>
    <w:rPr>
      <w:lang w:val="sv-SE" w:eastAsia="en-US" w:bidi="ar-SA"/>
    </w:rPr>
    <w:tblPr>
      <w:tblStyleRowBandSize w:val="1"/>
      <w:tblStyleColBandSize w:val="1"/>
      <w:tblBorders>
        <w:top w:val="single" w:sz="8" w:space="0" w:color="78C0D4" w:themeColor="accent5" w:themeTint="BF"/>
        <w:left w:val="single" w:sz="8" w:space="0" w:color="78C0D4" w:themeColor="accent5" w:themeTint="BF"/>
        <w:bottom w:val="single" w:sz="8" w:space="0" w:color="78C0D4" w:themeColor="accent5" w:themeTint="BF"/>
        <w:right w:val="single" w:sz="8" w:space="0" w:color="78C0D4" w:themeColor="accent5" w:themeTint="BF"/>
        <w:insideH w:val="single" w:sz="8" w:space="0" w:color="78C0D4" w:themeColor="accent5" w:themeTint="BF"/>
        <w:insideV w:val="single" w:sz="8" w:space="0" w:color="78C0D4" w:themeColor="accent5" w:themeTint="BF"/>
      </w:tblBorders>
    </w:tblPr>
    <w:tcPr>
      <w:shd w:val="clear" w:color="auto" w:fill="D2EAF1" w:themeFill="accent5" w:themeFillTint="3F"/>
    </w:tcPr>
    <w:tblStylePr w:type="firstRow">
      <w:rPr>
        <w:b/>
        <w:bCs/>
      </w:rPr>
    </w:tblStylePr>
    <w:tblStylePr w:type="lastRow">
      <w:rPr>
        <w:b/>
        <w:bCs/>
      </w:rPr>
      <w:tblPr/>
      <w:tcPr>
        <w:tcBorders>
          <w:top w:val="single" w:sz="18" w:space="0" w:color="78C0D4" w:themeColor="accent5" w:themeTint="BF"/>
        </w:tcBorders>
      </w:tcPr>
    </w:tblStylePr>
    <w:tblStylePr w:type="firstCol">
      <w:rPr>
        <w:b/>
        <w:bCs/>
      </w:rPr>
    </w:tblStylePr>
    <w:tblStylePr w:type="lastCol">
      <w:rPr>
        <w:b/>
        <w:bCs/>
      </w:r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MediumGrid1-Accent6">
    <w:name w:val="Medium Grid 1 Accent 6"/>
    <w:basedOn w:val="TableNormal"/>
    <w:uiPriority w:val="67"/>
    <w:rsid w:val="00CB0664"/>
    <w:pPr>
      <w:spacing w:after="0" w:line="240" w:lineRule="auto"/>
    </w:pPr>
    <w:rPr>
      <w:lang w:val="sv-SE" w:eastAsia="en-US" w:bidi="ar-SA"/>
    </w:rPr>
    <w:tblPr>
      <w:tblStyleRowBandSize w:val="1"/>
      <w:tblStyleColBandSize w:val="1"/>
      <w:tblBorders>
        <w:top w:val="single" w:sz="8" w:space="0" w:color="F9B074" w:themeColor="accent6" w:themeTint="BF"/>
        <w:left w:val="single" w:sz="8" w:space="0" w:color="F9B074" w:themeColor="accent6" w:themeTint="BF"/>
        <w:bottom w:val="single" w:sz="8" w:space="0" w:color="F9B074" w:themeColor="accent6" w:themeTint="BF"/>
        <w:right w:val="single" w:sz="8" w:space="0" w:color="F9B074" w:themeColor="accent6" w:themeTint="BF"/>
        <w:insideH w:val="single" w:sz="8" w:space="0" w:color="F9B074" w:themeColor="accent6" w:themeTint="BF"/>
        <w:insideV w:val="single" w:sz="8" w:space="0" w:color="F9B074" w:themeColor="accent6" w:themeTint="BF"/>
      </w:tblBorders>
    </w:tblPr>
    <w:tcPr>
      <w:shd w:val="clear" w:color="auto" w:fill="FDE4D0" w:themeFill="accent6" w:themeFillTint="3F"/>
    </w:tcPr>
    <w:tblStylePr w:type="firstRow">
      <w:rPr>
        <w:b/>
        <w:bCs/>
      </w:rPr>
    </w:tblStylePr>
    <w:tblStylePr w:type="lastRow">
      <w:rPr>
        <w:b/>
        <w:bCs/>
      </w:rPr>
      <w:tblPr/>
      <w:tcPr>
        <w:tcBorders>
          <w:top w:val="single" w:sz="18" w:space="0" w:color="F9B074" w:themeColor="accent6" w:themeTint="BF"/>
        </w:tcBorders>
      </w:tcPr>
    </w:tblStylePr>
    <w:tblStylePr w:type="firstCol">
      <w:rPr>
        <w:b/>
        <w:bCs/>
      </w:rPr>
    </w:tblStylePr>
    <w:tblStylePr w:type="lastCol">
      <w:rPr>
        <w:b/>
        <w:bCs/>
      </w:r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 w:type="table" w:styleId="MediumGrid2">
    <w:name w:val="Medium Grid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ediumGrid2-Accent1">
    <w:name w:val="Medium Grid 2 Accent 1"/>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cPr>
      <w:shd w:val="clear" w:color="auto" w:fill="D3DFEE" w:themeFill="accent1" w:themeFillTint="3F"/>
    </w:tcPr>
    <w:tblStylePr w:type="firstRow">
      <w:rPr>
        <w:b/>
        <w:bCs/>
        <w:color w:val="000000" w:themeColor="text1"/>
      </w:rPr>
      <w:tblPr/>
      <w:tcPr>
        <w:shd w:val="clear" w:color="auto" w:fill="EDF2F8" w:themeFill="accen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BE5F1" w:themeFill="accent1" w:themeFillTint="33"/>
      </w:tcPr>
    </w:tblStylePr>
    <w:tblStylePr w:type="band1Vert">
      <w:tblPr/>
      <w:tcPr>
        <w:shd w:val="clear" w:color="auto" w:fill="A7BFDE" w:themeFill="accent1" w:themeFillTint="7F"/>
      </w:tcPr>
    </w:tblStylePr>
    <w:tblStylePr w:type="band1Horz">
      <w:tblPr/>
      <w:tcPr>
        <w:tcBorders>
          <w:insideH w:val="single" w:sz="6" w:space="0" w:color="4F81BD" w:themeColor="accent1"/>
          <w:insideV w:val="single" w:sz="6" w:space="0" w:color="4F81BD" w:themeColor="accent1"/>
        </w:tcBorders>
        <w:shd w:val="clear" w:color="auto" w:fill="A7BFDE" w:themeFill="accent1" w:themeFillTint="7F"/>
      </w:tcPr>
    </w:tblStylePr>
    <w:tblStylePr w:type="nwCell">
      <w:tblPr/>
      <w:tcPr>
        <w:shd w:val="clear" w:color="auto" w:fill="FFFFFF" w:themeFill="background1"/>
      </w:tcPr>
    </w:tblStylePr>
  </w:style>
  <w:style w:type="table" w:styleId="MediumGrid2-Accent2">
    <w:name w:val="Medium Grid 2 Accent 2"/>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C0504D" w:themeColor="accent2"/>
        <w:left w:val="single" w:sz="8" w:space="0" w:color="C0504D" w:themeColor="accent2"/>
        <w:bottom w:val="single" w:sz="8" w:space="0" w:color="C0504D" w:themeColor="accent2"/>
        <w:right w:val="single" w:sz="8" w:space="0" w:color="C0504D" w:themeColor="accent2"/>
        <w:insideH w:val="single" w:sz="8" w:space="0" w:color="C0504D" w:themeColor="accent2"/>
        <w:insideV w:val="single" w:sz="8" w:space="0" w:color="C0504D" w:themeColor="accent2"/>
      </w:tblBorders>
    </w:tblPr>
    <w:tcPr>
      <w:shd w:val="clear" w:color="auto" w:fill="EFD3D2" w:themeFill="accent2" w:themeFillTint="3F"/>
    </w:tcPr>
    <w:tblStylePr w:type="firstRow">
      <w:rPr>
        <w:b/>
        <w:bCs/>
        <w:color w:val="000000" w:themeColor="text1"/>
      </w:rPr>
      <w:tblPr/>
      <w:tcPr>
        <w:shd w:val="clear" w:color="auto" w:fill="F8EDED" w:themeFill="accent2"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2DBDB" w:themeFill="accent2" w:themeFillTint="33"/>
      </w:tcPr>
    </w:tblStylePr>
    <w:tblStylePr w:type="band1Vert">
      <w:tblPr/>
      <w:tcPr>
        <w:shd w:val="clear" w:color="auto" w:fill="DFA7A6" w:themeFill="accent2" w:themeFillTint="7F"/>
      </w:tcPr>
    </w:tblStylePr>
    <w:tblStylePr w:type="band1Horz">
      <w:tblPr/>
      <w:tcPr>
        <w:tcBorders>
          <w:insideH w:val="single" w:sz="6" w:space="0" w:color="C0504D" w:themeColor="accent2"/>
          <w:insideV w:val="single" w:sz="6" w:space="0" w:color="C0504D" w:themeColor="accent2"/>
        </w:tcBorders>
        <w:shd w:val="clear" w:color="auto" w:fill="DFA7A6" w:themeFill="accent2" w:themeFillTint="7F"/>
      </w:tcPr>
    </w:tblStylePr>
    <w:tblStylePr w:type="nwCell">
      <w:tblPr/>
      <w:tcPr>
        <w:shd w:val="clear" w:color="auto" w:fill="FFFFFF" w:themeFill="background1"/>
      </w:tcPr>
    </w:tblStylePr>
  </w:style>
  <w:style w:type="table" w:styleId="MediumGrid2-Accent3">
    <w:name w:val="Medium Grid 2 Accent 3"/>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insideH w:val="single" w:sz="8" w:space="0" w:color="9BBB59" w:themeColor="accent3"/>
        <w:insideV w:val="single" w:sz="8" w:space="0" w:color="9BBB59" w:themeColor="accent3"/>
      </w:tblBorders>
    </w:tblPr>
    <w:tcPr>
      <w:shd w:val="clear" w:color="auto" w:fill="E6EED5" w:themeFill="accent3" w:themeFillTint="3F"/>
    </w:tcPr>
    <w:tblStylePr w:type="firstRow">
      <w:rPr>
        <w:b/>
        <w:bCs/>
        <w:color w:val="000000" w:themeColor="text1"/>
      </w:rPr>
      <w:tblPr/>
      <w:tcPr>
        <w:shd w:val="clear" w:color="auto" w:fill="F5F8EE" w:themeFill="accent3"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AF1DD" w:themeFill="accent3" w:themeFillTint="33"/>
      </w:tcPr>
    </w:tblStylePr>
    <w:tblStylePr w:type="band1Vert">
      <w:tblPr/>
      <w:tcPr>
        <w:shd w:val="clear" w:color="auto" w:fill="CDDDAC" w:themeFill="accent3" w:themeFillTint="7F"/>
      </w:tcPr>
    </w:tblStylePr>
    <w:tblStylePr w:type="band1Horz">
      <w:tblPr/>
      <w:tcPr>
        <w:tcBorders>
          <w:insideH w:val="single" w:sz="6" w:space="0" w:color="9BBB59" w:themeColor="accent3"/>
          <w:insideV w:val="single" w:sz="6" w:space="0" w:color="9BBB59" w:themeColor="accent3"/>
        </w:tcBorders>
        <w:shd w:val="clear" w:color="auto" w:fill="CDDDAC" w:themeFill="accent3" w:themeFillTint="7F"/>
      </w:tcPr>
    </w:tblStylePr>
    <w:tblStylePr w:type="nwCell">
      <w:tblPr/>
      <w:tcPr>
        <w:shd w:val="clear" w:color="auto" w:fill="FFFFFF" w:themeFill="background1"/>
      </w:tcPr>
    </w:tblStylePr>
  </w:style>
  <w:style w:type="table" w:styleId="MediumGrid2-Accent4">
    <w:name w:val="Medium Grid 2 Accent 4"/>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8064A2" w:themeColor="accent4"/>
        <w:left w:val="single" w:sz="8" w:space="0" w:color="8064A2" w:themeColor="accent4"/>
        <w:bottom w:val="single" w:sz="8" w:space="0" w:color="8064A2" w:themeColor="accent4"/>
        <w:right w:val="single" w:sz="8" w:space="0" w:color="8064A2" w:themeColor="accent4"/>
        <w:insideH w:val="single" w:sz="8" w:space="0" w:color="8064A2" w:themeColor="accent4"/>
        <w:insideV w:val="single" w:sz="8" w:space="0" w:color="8064A2" w:themeColor="accent4"/>
      </w:tblBorders>
    </w:tblPr>
    <w:tcPr>
      <w:shd w:val="clear" w:color="auto" w:fill="DFD8E8" w:themeFill="accent4" w:themeFillTint="3F"/>
    </w:tcPr>
    <w:tblStylePr w:type="firstRow">
      <w:rPr>
        <w:b/>
        <w:bCs/>
        <w:color w:val="000000" w:themeColor="text1"/>
      </w:rPr>
      <w:tblPr/>
      <w:tcPr>
        <w:shd w:val="clear" w:color="auto" w:fill="F2EFF6" w:themeFill="accent4"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E5DFEC" w:themeFill="accent4" w:themeFillTint="33"/>
      </w:tcPr>
    </w:tblStylePr>
    <w:tblStylePr w:type="band1Vert">
      <w:tblPr/>
      <w:tcPr>
        <w:shd w:val="clear" w:color="auto" w:fill="BFB1D0" w:themeFill="accent4" w:themeFillTint="7F"/>
      </w:tcPr>
    </w:tblStylePr>
    <w:tblStylePr w:type="band1Horz">
      <w:tblPr/>
      <w:tcPr>
        <w:tcBorders>
          <w:insideH w:val="single" w:sz="6" w:space="0" w:color="8064A2" w:themeColor="accent4"/>
          <w:insideV w:val="single" w:sz="6" w:space="0" w:color="8064A2" w:themeColor="accent4"/>
        </w:tcBorders>
        <w:shd w:val="clear" w:color="auto" w:fill="BFB1D0" w:themeFill="accent4" w:themeFillTint="7F"/>
      </w:tcPr>
    </w:tblStylePr>
    <w:tblStylePr w:type="nwCell">
      <w:tblPr/>
      <w:tcPr>
        <w:shd w:val="clear" w:color="auto" w:fill="FFFFFF" w:themeFill="background1"/>
      </w:tcPr>
    </w:tblStylePr>
  </w:style>
  <w:style w:type="table" w:styleId="MediumGrid2-Accent5">
    <w:name w:val="Medium Grid 2 Accent 5"/>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insideH w:val="single" w:sz="8" w:space="0" w:color="4BACC6" w:themeColor="accent5"/>
        <w:insideV w:val="single" w:sz="8" w:space="0" w:color="4BACC6" w:themeColor="accent5"/>
      </w:tblBorders>
    </w:tblPr>
    <w:tcPr>
      <w:shd w:val="clear" w:color="auto" w:fill="D2EAF1" w:themeFill="accent5" w:themeFillTint="3F"/>
    </w:tcPr>
    <w:tblStylePr w:type="firstRow">
      <w:rPr>
        <w:b/>
        <w:bCs/>
        <w:color w:val="000000" w:themeColor="text1"/>
      </w:rPr>
      <w:tblPr/>
      <w:tcPr>
        <w:shd w:val="clear" w:color="auto" w:fill="EDF6F9" w:themeFill="accent5"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DAEEF3" w:themeFill="accent5" w:themeFillTint="33"/>
      </w:tcPr>
    </w:tblStylePr>
    <w:tblStylePr w:type="band1Vert">
      <w:tblPr/>
      <w:tcPr>
        <w:shd w:val="clear" w:color="auto" w:fill="A5D5E2" w:themeFill="accent5" w:themeFillTint="7F"/>
      </w:tcPr>
    </w:tblStylePr>
    <w:tblStylePr w:type="band1Horz">
      <w:tblPr/>
      <w:tcPr>
        <w:tcBorders>
          <w:insideH w:val="single" w:sz="6" w:space="0" w:color="4BACC6" w:themeColor="accent5"/>
          <w:insideV w:val="single" w:sz="6" w:space="0" w:color="4BACC6" w:themeColor="accent5"/>
        </w:tcBorders>
        <w:shd w:val="clear" w:color="auto" w:fill="A5D5E2" w:themeFill="accent5" w:themeFillTint="7F"/>
      </w:tcPr>
    </w:tblStylePr>
    <w:tblStylePr w:type="nwCell">
      <w:tblPr/>
      <w:tcPr>
        <w:shd w:val="clear" w:color="auto" w:fill="FFFFFF" w:themeFill="background1"/>
      </w:tcPr>
    </w:tblStylePr>
  </w:style>
  <w:style w:type="table" w:styleId="MediumGrid2-Accent6">
    <w:name w:val="Medium Grid 2 Accent 6"/>
    <w:basedOn w:val="TableNormal"/>
    <w:uiPriority w:val="68"/>
    <w:rsid w:val="00CB0664"/>
    <w:pPr>
      <w:spacing w:after="0" w:line="240" w:lineRule="auto"/>
    </w:pPr>
    <w:rPr>
      <w:rFonts w:asciiTheme="majorHAnsi" w:eastAsiaTheme="majorEastAsia" w:hAnsiTheme="majorHAnsi" w:cstheme="majorBidi"/>
      <w:color w:val="000000" w:themeColor="text1"/>
      <w:lang w:val="sv-SE" w:eastAsia="en-US" w:bidi="ar-SA"/>
    </w:r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insideH w:val="single" w:sz="8" w:space="0" w:color="F79646" w:themeColor="accent6"/>
        <w:insideV w:val="single" w:sz="8" w:space="0" w:color="F79646" w:themeColor="accent6"/>
      </w:tblBorders>
    </w:tblPr>
    <w:tcPr>
      <w:shd w:val="clear" w:color="auto" w:fill="FDE4D0" w:themeFill="accent6" w:themeFillTint="3F"/>
    </w:tcPr>
    <w:tblStylePr w:type="firstRow">
      <w:rPr>
        <w:b/>
        <w:bCs/>
        <w:color w:val="000000" w:themeColor="text1"/>
      </w:rPr>
      <w:tblPr/>
      <w:tcPr>
        <w:shd w:val="clear" w:color="auto" w:fill="FEF4EC" w:themeFill="accent6"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FDE9D9" w:themeFill="accent6" w:themeFillTint="33"/>
      </w:tcPr>
    </w:tblStylePr>
    <w:tblStylePr w:type="band1Vert">
      <w:tblPr/>
      <w:tcPr>
        <w:shd w:val="clear" w:color="auto" w:fill="FBCAA2" w:themeFill="accent6" w:themeFillTint="7F"/>
      </w:tcPr>
    </w:tblStylePr>
    <w:tblStylePr w:type="band1Horz">
      <w:tblPr/>
      <w:tcPr>
        <w:tcBorders>
          <w:insideH w:val="single" w:sz="6" w:space="0" w:color="F79646" w:themeColor="accent6"/>
          <w:insideV w:val="single" w:sz="6" w:space="0" w:color="F79646" w:themeColor="accent6"/>
        </w:tcBorders>
        <w:shd w:val="clear" w:color="auto" w:fill="FBCAA2" w:themeFill="accent6" w:themeFillTint="7F"/>
      </w:tcPr>
    </w:tblStylePr>
    <w:tblStylePr w:type="nwCell">
      <w:tblPr/>
      <w:tcPr>
        <w:shd w:val="clear" w:color="auto" w:fill="FFFFFF" w:themeFill="background1"/>
      </w:tcPr>
    </w:tblStylePr>
  </w:style>
  <w:style w:type="table" w:styleId="MediumGrid3">
    <w:name w:val="Medium Grid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ediumGrid3-Accent1">
    <w:name w:val="Medium Grid 3 Accent 1"/>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3DFEE" w:themeFill="accen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F81BD" w:themeFill="accen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F81BD" w:themeFill="accen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F81BD" w:themeFill="accen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7BFDE" w:themeFill="accen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7BFDE" w:themeFill="accent1" w:themeFillTint="7F"/>
      </w:tcPr>
    </w:tblStylePr>
  </w:style>
  <w:style w:type="table" w:styleId="MediumGrid3-Accent2">
    <w:name w:val="Medium Grid 3 Accent 2"/>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FD3D2" w:themeFill="accent2"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C0504D" w:themeFill="accent2"/>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C0504D" w:themeFill="accent2"/>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C0504D" w:themeFill="accent2"/>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DFA7A6" w:themeFill="accent2"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DFA7A6" w:themeFill="accent2" w:themeFillTint="7F"/>
      </w:tcPr>
    </w:tblStylePr>
  </w:style>
  <w:style w:type="table" w:styleId="MediumGrid3-Accent3">
    <w:name w:val="Medium Grid 3 Accent 3"/>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E6EED5" w:themeFill="accent3"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9BBB59" w:themeFill="accent3"/>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9BBB59" w:themeFill="accent3"/>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9BBB59" w:themeFill="accent3"/>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CDDDAC" w:themeFill="accent3"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CDDDAC" w:themeFill="accent3" w:themeFillTint="7F"/>
      </w:tcPr>
    </w:tblStylePr>
  </w:style>
  <w:style w:type="table" w:styleId="MediumGrid3-Accent4">
    <w:name w:val="Medium Grid 3 Accent 4"/>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FD8E8" w:themeFill="accent4"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8064A2" w:themeFill="accent4"/>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8064A2" w:themeFill="accent4"/>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8064A2" w:themeFill="accent4"/>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BFB1D0" w:themeFill="accent4"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BFB1D0" w:themeFill="accent4" w:themeFillTint="7F"/>
      </w:tcPr>
    </w:tblStylePr>
  </w:style>
  <w:style w:type="table" w:styleId="MediumGrid3-Accent5">
    <w:name w:val="Medium Grid 3 Accent 5"/>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D2EAF1" w:themeFill="accent5"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4BACC6" w:themeFill="accent5"/>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4BACC6" w:themeFill="accent5"/>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4BACC6" w:themeFill="accent5"/>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A5D5E2" w:themeFill="accent5"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A5D5E2" w:themeFill="accent5" w:themeFillTint="7F"/>
      </w:tcPr>
    </w:tblStylePr>
  </w:style>
  <w:style w:type="table" w:styleId="MediumGrid3-Accent6">
    <w:name w:val="Medium Grid 3 Accent 6"/>
    <w:basedOn w:val="TableNormal"/>
    <w:uiPriority w:val="69"/>
    <w:rsid w:val="00CB0664"/>
    <w:pPr>
      <w:spacing w:after="0" w:line="240" w:lineRule="auto"/>
    </w:pPr>
    <w:rPr>
      <w:lang w:val="sv-SE" w:eastAsia="en-US" w:bidi="ar-SA"/>
    </w:rPr>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FDE4D0" w:themeFill="accent6"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F79646" w:themeFill="accent6"/>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F79646" w:themeFill="accent6"/>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F79646" w:themeFill="accent6"/>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FBCAA2" w:themeFill="accent6"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FBCAA2" w:themeFill="accent6" w:themeFillTint="7F"/>
      </w:tcPr>
    </w:tblStylePr>
  </w:style>
  <w:style w:type="table" w:styleId="DarkList">
    <w:name w:val="Dark List"/>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DarkList-Accent1">
    <w:name w:val="Dark List Accent 1"/>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F81BD" w:themeFill="accen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43F60" w:themeFill="accent1" w:themeFillShade="7F"/>
      </w:tcPr>
    </w:tblStylePr>
    <w:tblStylePr w:type="firstCol">
      <w:tblPr/>
      <w:tcPr>
        <w:tcBorders>
          <w:top w:val="nil"/>
          <w:left w:val="nil"/>
          <w:bottom w:val="nil"/>
          <w:right w:val="single" w:sz="18" w:space="0" w:color="FFFFFF" w:themeColor="background1"/>
          <w:insideH w:val="nil"/>
          <w:insideV w:val="nil"/>
        </w:tcBorders>
        <w:shd w:val="clear" w:color="auto" w:fill="365F91" w:themeFill="accent1" w:themeFillShade="BF"/>
      </w:tcPr>
    </w:tblStylePr>
    <w:tblStylePr w:type="lastCol">
      <w:tblPr/>
      <w:tcPr>
        <w:tcBorders>
          <w:top w:val="nil"/>
          <w:left w:val="single" w:sz="18" w:space="0" w:color="FFFFFF" w:themeColor="background1"/>
          <w:bottom w:val="nil"/>
          <w:right w:val="nil"/>
          <w:insideH w:val="nil"/>
          <w:insideV w:val="nil"/>
        </w:tcBorders>
        <w:shd w:val="clear" w:color="auto" w:fill="365F91" w:themeFill="accent1" w:themeFillShade="BF"/>
      </w:tcPr>
    </w:tblStylePr>
    <w:tblStylePr w:type="band1Vert">
      <w:tblPr/>
      <w:tcPr>
        <w:tcBorders>
          <w:top w:val="nil"/>
          <w:left w:val="nil"/>
          <w:bottom w:val="nil"/>
          <w:right w:val="nil"/>
          <w:insideH w:val="nil"/>
          <w:insideV w:val="nil"/>
        </w:tcBorders>
        <w:shd w:val="clear" w:color="auto" w:fill="365F91" w:themeFill="accent1" w:themeFillShade="BF"/>
      </w:tcPr>
    </w:tblStylePr>
    <w:tblStylePr w:type="band1Horz">
      <w:tblPr/>
      <w:tcPr>
        <w:tcBorders>
          <w:top w:val="nil"/>
          <w:left w:val="nil"/>
          <w:bottom w:val="nil"/>
          <w:right w:val="nil"/>
          <w:insideH w:val="nil"/>
          <w:insideV w:val="nil"/>
        </w:tcBorders>
        <w:shd w:val="clear" w:color="auto" w:fill="365F91" w:themeFill="accent1" w:themeFillShade="BF"/>
      </w:tcPr>
    </w:tblStylePr>
  </w:style>
  <w:style w:type="table" w:styleId="DarkList-Accent2">
    <w:name w:val="Dark List Accent 2"/>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C0504D" w:themeFill="accent2"/>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622423" w:themeFill="accent2" w:themeFillShade="7F"/>
      </w:tcPr>
    </w:tblStylePr>
    <w:tblStylePr w:type="firstCol">
      <w:tblPr/>
      <w:tcPr>
        <w:tcBorders>
          <w:top w:val="nil"/>
          <w:left w:val="nil"/>
          <w:bottom w:val="nil"/>
          <w:right w:val="single" w:sz="18" w:space="0" w:color="FFFFFF" w:themeColor="background1"/>
          <w:insideH w:val="nil"/>
          <w:insideV w:val="nil"/>
        </w:tcBorders>
        <w:shd w:val="clear" w:color="auto" w:fill="943634" w:themeFill="accent2" w:themeFillShade="BF"/>
      </w:tcPr>
    </w:tblStylePr>
    <w:tblStylePr w:type="lastCol">
      <w:tblPr/>
      <w:tcPr>
        <w:tcBorders>
          <w:top w:val="nil"/>
          <w:left w:val="single" w:sz="18" w:space="0" w:color="FFFFFF" w:themeColor="background1"/>
          <w:bottom w:val="nil"/>
          <w:right w:val="nil"/>
          <w:insideH w:val="nil"/>
          <w:insideV w:val="nil"/>
        </w:tcBorders>
        <w:shd w:val="clear" w:color="auto" w:fill="943634" w:themeFill="accent2" w:themeFillShade="BF"/>
      </w:tcPr>
    </w:tblStylePr>
    <w:tblStylePr w:type="band1Vert">
      <w:tblPr/>
      <w:tcPr>
        <w:tcBorders>
          <w:top w:val="nil"/>
          <w:left w:val="nil"/>
          <w:bottom w:val="nil"/>
          <w:right w:val="nil"/>
          <w:insideH w:val="nil"/>
          <w:insideV w:val="nil"/>
        </w:tcBorders>
        <w:shd w:val="clear" w:color="auto" w:fill="943634" w:themeFill="accent2" w:themeFillShade="BF"/>
      </w:tcPr>
    </w:tblStylePr>
    <w:tblStylePr w:type="band1Horz">
      <w:tblPr/>
      <w:tcPr>
        <w:tcBorders>
          <w:top w:val="nil"/>
          <w:left w:val="nil"/>
          <w:bottom w:val="nil"/>
          <w:right w:val="nil"/>
          <w:insideH w:val="nil"/>
          <w:insideV w:val="nil"/>
        </w:tcBorders>
        <w:shd w:val="clear" w:color="auto" w:fill="943634" w:themeFill="accent2" w:themeFillShade="BF"/>
      </w:tcPr>
    </w:tblStylePr>
  </w:style>
  <w:style w:type="table" w:styleId="DarkList-Accent3">
    <w:name w:val="Dark List Accent 3"/>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9BBB59" w:themeFill="accent3"/>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4E6128" w:themeFill="accent3" w:themeFillShade="7F"/>
      </w:tcPr>
    </w:tblStylePr>
    <w:tblStylePr w:type="firstCol">
      <w:tblPr/>
      <w:tcPr>
        <w:tcBorders>
          <w:top w:val="nil"/>
          <w:left w:val="nil"/>
          <w:bottom w:val="nil"/>
          <w:right w:val="single" w:sz="18" w:space="0" w:color="FFFFFF" w:themeColor="background1"/>
          <w:insideH w:val="nil"/>
          <w:insideV w:val="nil"/>
        </w:tcBorders>
        <w:shd w:val="clear" w:color="auto" w:fill="76923C" w:themeFill="accent3" w:themeFillShade="BF"/>
      </w:tcPr>
    </w:tblStylePr>
    <w:tblStylePr w:type="lastCol">
      <w:tblPr/>
      <w:tcPr>
        <w:tcBorders>
          <w:top w:val="nil"/>
          <w:left w:val="single" w:sz="18" w:space="0" w:color="FFFFFF" w:themeColor="background1"/>
          <w:bottom w:val="nil"/>
          <w:right w:val="nil"/>
          <w:insideH w:val="nil"/>
          <w:insideV w:val="nil"/>
        </w:tcBorders>
        <w:shd w:val="clear" w:color="auto" w:fill="76923C" w:themeFill="accent3" w:themeFillShade="BF"/>
      </w:tcPr>
    </w:tblStylePr>
    <w:tblStylePr w:type="band1Vert">
      <w:tblPr/>
      <w:tcPr>
        <w:tcBorders>
          <w:top w:val="nil"/>
          <w:left w:val="nil"/>
          <w:bottom w:val="nil"/>
          <w:right w:val="nil"/>
          <w:insideH w:val="nil"/>
          <w:insideV w:val="nil"/>
        </w:tcBorders>
        <w:shd w:val="clear" w:color="auto" w:fill="76923C" w:themeFill="accent3" w:themeFillShade="BF"/>
      </w:tcPr>
    </w:tblStylePr>
    <w:tblStylePr w:type="band1Horz">
      <w:tblPr/>
      <w:tcPr>
        <w:tcBorders>
          <w:top w:val="nil"/>
          <w:left w:val="nil"/>
          <w:bottom w:val="nil"/>
          <w:right w:val="nil"/>
          <w:insideH w:val="nil"/>
          <w:insideV w:val="nil"/>
        </w:tcBorders>
        <w:shd w:val="clear" w:color="auto" w:fill="76923C" w:themeFill="accent3" w:themeFillShade="BF"/>
      </w:tcPr>
    </w:tblStylePr>
  </w:style>
  <w:style w:type="table" w:styleId="DarkList-Accent4">
    <w:name w:val="Dark List Accent 4"/>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8064A2" w:themeFill="accent4"/>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3F3151" w:themeFill="accent4" w:themeFillShade="7F"/>
      </w:tcPr>
    </w:tblStylePr>
    <w:tblStylePr w:type="firstCol">
      <w:tblPr/>
      <w:tcPr>
        <w:tcBorders>
          <w:top w:val="nil"/>
          <w:left w:val="nil"/>
          <w:bottom w:val="nil"/>
          <w:right w:val="single" w:sz="18" w:space="0" w:color="FFFFFF" w:themeColor="background1"/>
          <w:insideH w:val="nil"/>
          <w:insideV w:val="nil"/>
        </w:tcBorders>
        <w:shd w:val="clear" w:color="auto" w:fill="5F497A" w:themeFill="accent4" w:themeFillShade="BF"/>
      </w:tcPr>
    </w:tblStylePr>
    <w:tblStylePr w:type="lastCol">
      <w:tblPr/>
      <w:tcPr>
        <w:tcBorders>
          <w:top w:val="nil"/>
          <w:left w:val="single" w:sz="18" w:space="0" w:color="FFFFFF" w:themeColor="background1"/>
          <w:bottom w:val="nil"/>
          <w:right w:val="nil"/>
          <w:insideH w:val="nil"/>
          <w:insideV w:val="nil"/>
        </w:tcBorders>
        <w:shd w:val="clear" w:color="auto" w:fill="5F497A" w:themeFill="accent4" w:themeFillShade="BF"/>
      </w:tcPr>
    </w:tblStylePr>
    <w:tblStylePr w:type="band1Vert">
      <w:tblPr/>
      <w:tcPr>
        <w:tcBorders>
          <w:top w:val="nil"/>
          <w:left w:val="nil"/>
          <w:bottom w:val="nil"/>
          <w:right w:val="nil"/>
          <w:insideH w:val="nil"/>
          <w:insideV w:val="nil"/>
        </w:tcBorders>
        <w:shd w:val="clear" w:color="auto" w:fill="5F497A" w:themeFill="accent4" w:themeFillShade="BF"/>
      </w:tcPr>
    </w:tblStylePr>
    <w:tblStylePr w:type="band1Horz">
      <w:tblPr/>
      <w:tcPr>
        <w:tcBorders>
          <w:top w:val="nil"/>
          <w:left w:val="nil"/>
          <w:bottom w:val="nil"/>
          <w:right w:val="nil"/>
          <w:insideH w:val="nil"/>
          <w:insideV w:val="nil"/>
        </w:tcBorders>
        <w:shd w:val="clear" w:color="auto" w:fill="5F497A" w:themeFill="accent4" w:themeFillShade="BF"/>
      </w:tcPr>
    </w:tblStylePr>
  </w:style>
  <w:style w:type="table" w:styleId="DarkList-Accent5">
    <w:name w:val="Dark List Accent 5"/>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4BACC6" w:themeFill="accent5"/>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205867" w:themeFill="accent5" w:themeFillShade="7F"/>
      </w:tcPr>
    </w:tblStylePr>
    <w:tblStylePr w:type="firstCol">
      <w:tblPr/>
      <w:tcPr>
        <w:tcBorders>
          <w:top w:val="nil"/>
          <w:left w:val="nil"/>
          <w:bottom w:val="nil"/>
          <w:right w:val="single" w:sz="18" w:space="0" w:color="FFFFFF" w:themeColor="background1"/>
          <w:insideH w:val="nil"/>
          <w:insideV w:val="nil"/>
        </w:tcBorders>
        <w:shd w:val="clear" w:color="auto" w:fill="31849B" w:themeFill="accent5" w:themeFillShade="BF"/>
      </w:tcPr>
    </w:tblStylePr>
    <w:tblStylePr w:type="lastCol">
      <w:tblPr/>
      <w:tcPr>
        <w:tcBorders>
          <w:top w:val="nil"/>
          <w:left w:val="single" w:sz="18" w:space="0" w:color="FFFFFF" w:themeColor="background1"/>
          <w:bottom w:val="nil"/>
          <w:right w:val="nil"/>
          <w:insideH w:val="nil"/>
          <w:insideV w:val="nil"/>
        </w:tcBorders>
        <w:shd w:val="clear" w:color="auto" w:fill="31849B" w:themeFill="accent5" w:themeFillShade="BF"/>
      </w:tcPr>
    </w:tblStylePr>
    <w:tblStylePr w:type="band1Vert">
      <w:tblPr/>
      <w:tcPr>
        <w:tcBorders>
          <w:top w:val="nil"/>
          <w:left w:val="nil"/>
          <w:bottom w:val="nil"/>
          <w:right w:val="nil"/>
          <w:insideH w:val="nil"/>
          <w:insideV w:val="nil"/>
        </w:tcBorders>
        <w:shd w:val="clear" w:color="auto" w:fill="31849B" w:themeFill="accent5" w:themeFillShade="BF"/>
      </w:tcPr>
    </w:tblStylePr>
    <w:tblStylePr w:type="band1Horz">
      <w:tblPr/>
      <w:tcPr>
        <w:tcBorders>
          <w:top w:val="nil"/>
          <w:left w:val="nil"/>
          <w:bottom w:val="nil"/>
          <w:right w:val="nil"/>
          <w:insideH w:val="nil"/>
          <w:insideV w:val="nil"/>
        </w:tcBorders>
        <w:shd w:val="clear" w:color="auto" w:fill="31849B" w:themeFill="accent5" w:themeFillShade="BF"/>
      </w:tcPr>
    </w:tblStylePr>
  </w:style>
  <w:style w:type="table" w:styleId="DarkList-Accent6">
    <w:name w:val="Dark List Accent 6"/>
    <w:basedOn w:val="TableNormal"/>
    <w:uiPriority w:val="70"/>
    <w:rsid w:val="00CB0664"/>
    <w:pPr>
      <w:spacing w:after="0" w:line="240" w:lineRule="auto"/>
    </w:pPr>
    <w:rPr>
      <w:color w:val="FFFFFF" w:themeColor="background1"/>
      <w:lang w:val="sv-SE" w:eastAsia="en-US" w:bidi="ar-SA"/>
    </w:rPr>
    <w:tblPr>
      <w:tblStyleRowBandSize w:val="1"/>
      <w:tblStyleColBandSize w:val="1"/>
    </w:tblPr>
    <w:tcPr>
      <w:shd w:val="clear" w:color="auto" w:fill="F79646" w:themeFill="accent6"/>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974706" w:themeFill="accent6" w:themeFillShade="7F"/>
      </w:tcPr>
    </w:tblStylePr>
    <w:tblStylePr w:type="firstCol">
      <w:tblPr/>
      <w:tcPr>
        <w:tcBorders>
          <w:top w:val="nil"/>
          <w:left w:val="nil"/>
          <w:bottom w:val="nil"/>
          <w:right w:val="single" w:sz="18" w:space="0" w:color="FFFFFF" w:themeColor="background1"/>
          <w:insideH w:val="nil"/>
          <w:insideV w:val="nil"/>
        </w:tcBorders>
        <w:shd w:val="clear" w:color="auto" w:fill="E36C0A" w:themeFill="accent6" w:themeFillShade="BF"/>
      </w:tcPr>
    </w:tblStylePr>
    <w:tblStylePr w:type="lastCol">
      <w:tblPr/>
      <w:tcPr>
        <w:tcBorders>
          <w:top w:val="nil"/>
          <w:left w:val="single" w:sz="18" w:space="0" w:color="FFFFFF" w:themeColor="background1"/>
          <w:bottom w:val="nil"/>
          <w:right w:val="nil"/>
          <w:insideH w:val="nil"/>
          <w:insideV w:val="nil"/>
        </w:tcBorders>
        <w:shd w:val="clear" w:color="auto" w:fill="E36C0A" w:themeFill="accent6" w:themeFillShade="BF"/>
      </w:tcPr>
    </w:tblStylePr>
    <w:tblStylePr w:type="band1Vert">
      <w:tblPr/>
      <w:tcPr>
        <w:tcBorders>
          <w:top w:val="nil"/>
          <w:left w:val="nil"/>
          <w:bottom w:val="nil"/>
          <w:right w:val="nil"/>
          <w:insideH w:val="nil"/>
          <w:insideV w:val="nil"/>
        </w:tcBorders>
        <w:shd w:val="clear" w:color="auto" w:fill="E36C0A" w:themeFill="accent6" w:themeFillShade="BF"/>
      </w:tcPr>
    </w:tblStylePr>
    <w:tblStylePr w:type="band1Horz">
      <w:tblPr/>
      <w:tcPr>
        <w:tcBorders>
          <w:top w:val="nil"/>
          <w:left w:val="nil"/>
          <w:bottom w:val="nil"/>
          <w:right w:val="nil"/>
          <w:insideH w:val="nil"/>
          <w:insideV w:val="nil"/>
        </w:tcBorders>
        <w:shd w:val="clear" w:color="auto" w:fill="E36C0A" w:themeFill="accent6" w:themeFillShade="BF"/>
      </w:tcPr>
    </w:tblStylePr>
  </w:style>
  <w:style w:type="table" w:styleId="ColorfulShading">
    <w:name w:val="Colorful Shading"/>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ColorfulShading-Accent1">
    <w:name w:val="Colorful Shading Accent 1"/>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4F81BD" w:themeColor="accent1"/>
        <w:bottom w:val="single" w:sz="4" w:space="0" w:color="4F81BD" w:themeColor="accent1"/>
        <w:right w:val="single" w:sz="4" w:space="0" w:color="4F81BD" w:themeColor="accent1"/>
        <w:insideH w:val="single" w:sz="4" w:space="0" w:color="FFFFFF" w:themeColor="background1"/>
        <w:insideV w:val="single" w:sz="4" w:space="0" w:color="FFFFFF" w:themeColor="background1"/>
      </w:tblBorders>
    </w:tblPr>
    <w:tcPr>
      <w:shd w:val="clear" w:color="auto" w:fill="EDF2F8" w:themeFill="accen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C4C74" w:themeFill="accent1" w:themeFillShade="99"/>
      </w:tcPr>
    </w:tblStylePr>
    <w:tblStylePr w:type="firstCol">
      <w:rPr>
        <w:color w:val="FFFFFF" w:themeColor="background1"/>
      </w:rPr>
      <w:tblPr/>
      <w:tcPr>
        <w:tcBorders>
          <w:top w:val="nil"/>
          <w:left w:val="nil"/>
          <w:bottom w:val="nil"/>
          <w:right w:val="nil"/>
          <w:insideH w:val="single" w:sz="4" w:space="0" w:color="2C4C74" w:themeColor="accent1" w:themeShade="99"/>
          <w:insideV w:val="nil"/>
        </w:tcBorders>
        <w:shd w:val="clear" w:color="auto" w:fill="2C4C74" w:themeFill="accent1" w:themeFillShade="99"/>
      </w:tcPr>
    </w:tblStylePr>
    <w:tblStylePr w:type="lastCol">
      <w:rPr>
        <w:color w:val="FFFFFF" w:themeColor="background1"/>
      </w:rPr>
      <w:tblPr/>
      <w:tcPr>
        <w:tcBorders>
          <w:top w:val="nil"/>
          <w:left w:val="nil"/>
          <w:bottom w:val="nil"/>
          <w:right w:val="nil"/>
          <w:insideH w:val="nil"/>
          <w:insideV w:val="nil"/>
        </w:tcBorders>
        <w:shd w:val="clear" w:color="auto" w:fill="2C4C74" w:themeFill="accent1" w:themeFillShade="99"/>
      </w:tcPr>
    </w:tblStylePr>
    <w:tblStylePr w:type="band1Vert">
      <w:tblPr/>
      <w:tcPr>
        <w:shd w:val="clear" w:color="auto" w:fill="B8CCE4" w:themeFill="accent1" w:themeFillTint="66"/>
      </w:tcPr>
    </w:tblStylePr>
    <w:tblStylePr w:type="band1Horz">
      <w:tblPr/>
      <w:tcPr>
        <w:shd w:val="clear" w:color="auto" w:fill="A7BFDE" w:themeFill="accent1" w:themeFillTint="7F"/>
      </w:tcPr>
    </w:tblStylePr>
    <w:tblStylePr w:type="neCell">
      <w:rPr>
        <w:color w:val="000000" w:themeColor="text1"/>
      </w:rPr>
    </w:tblStylePr>
    <w:tblStylePr w:type="nwCell">
      <w:rPr>
        <w:color w:val="000000" w:themeColor="text1"/>
      </w:rPr>
    </w:tblStylePr>
  </w:style>
  <w:style w:type="table" w:styleId="ColorfulShading-Accent2">
    <w:name w:val="Colorful Shading Accent 2"/>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C0504D" w:themeColor="accent2"/>
        <w:left w:val="single" w:sz="4" w:space="0" w:color="C0504D" w:themeColor="accent2"/>
        <w:bottom w:val="single" w:sz="4" w:space="0" w:color="C0504D" w:themeColor="accent2"/>
        <w:right w:val="single" w:sz="4" w:space="0" w:color="C0504D" w:themeColor="accent2"/>
        <w:insideH w:val="single" w:sz="4" w:space="0" w:color="FFFFFF" w:themeColor="background1"/>
        <w:insideV w:val="single" w:sz="4" w:space="0" w:color="FFFFFF" w:themeColor="background1"/>
      </w:tblBorders>
    </w:tblPr>
    <w:tcPr>
      <w:shd w:val="clear" w:color="auto" w:fill="F8EDED" w:themeFill="accent2"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772C2A" w:themeFill="accent2" w:themeFillShade="99"/>
      </w:tcPr>
    </w:tblStylePr>
    <w:tblStylePr w:type="firstCol">
      <w:rPr>
        <w:color w:val="FFFFFF" w:themeColor="background1"/>
      </w:rPr>
      <w:tblPr/>
      <w:tcPr>
        <w:tcBorders>
          <w:top w:val="nil"/>
          <w:left w:val="nil"/>
          <w:bottom w:val="nil"/>
          <w:right w:val="nil"/>
          <w:insideH w:val="single" w:sz="4" w:space="0" w:color="772C2A" w:themeColor="accent2" w:themeShade="99"/>
          <w:insideV w:val="nil"/>
        </w:tcBorders>
        <w:shd w:val="clear" w:color="auto" w:fill="772C2A" w:themeFill="accent2" w:themeFillShade="99"/>
      </w:tcPr>
    </w:tblStylePr>
    <w:tblStylePr w:type="lastCol">
      <w:rPr>
        <w:color w:val="FFFFFF" w:themeColor="background1"/>
      </w:rPr>
      <w:tblPr/>
      <w:tcPr>
        <w:tcBorders>
          <w:top w:val="nil"/>
          <w:left w:val="nil"/>
          <w:bottom w:val="nil"/>
          <w:right w:val="nil"/>
          <w:insideH w:val="nil"/>
          <w:insideV w:val="nil"/>
        </w:tcBorders>
        <w:shd w:val="clear" w:color="auto" w:fill="772C2A" w:themeFill="accent2" w:themeFillShade="99"/>
      </w:tcPr>
    </w:tblStylePr>
    <w:tblStylePr w:type="band1Vert">
      <w:tblPr/>
      <w:tcPr>
        <w:shd w:val="clear" w:color="auto" w:fill="E5B8B7" w:themeFill="accent2" w:themeFillTint="66"/>
      </w:tcPr>
    </w:tblStylePr>
    <w:tblStylePr w:type="band1Horz">
      <w:tblPr/>
      <w:tcPr>
        <w:shd w:val="clear" w:color="auto" w:fill="DFA7A6" w:themeFill="accent2" w:themeFillTint="7F"/>
      </w:tcPr>
    </w:tblStylePr>
    <w:tblStylePr w:type="neCell">
      <w:rPr>
        <w:color w:val="000000" w:themeColor="text1"/>
      </w:rPr>
    </w:tblStylePr>
    <w:tblStylePr w:type="nwCell">
      <w:rPr>
        <w:color w:val="000000" w:themeColor="text1"/>
      </w:rPr>
    </w:tblStylePr>
  </w:style>
  <w:style w:type="table" w:styleId="ColorfulShading-Accent3">
    <w:name w:val="Colorful Shading Accent 3"/>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8064A2" w:themeColor="accent4"/>
        <w:left w:val="single" w:sz="4" w:space="0" w:color="9BBB59" w:themeColor="accent3"/>
        <w:bottom w:val="single" w:sz="4" w:space="0" w:color="9BBB59" w:themeColor="accent3"/>
        <w:right w:val="single" w:sz="4" w:space="0" w:color="9BBB59" w:themeColor="accent3"/>
        <w:insideH w:val="single" w:sz="4" w:space="0" w:color="FFFFFF" w:themeColor="background1"/>
        <w:insideV w:val="single" w:sz="4" w:space="0" w:color="FFFFFF" w:themeColor="background1"/>
      </w:tblBorders>
    </w:tblPr>
    <w:tcPr>
      <w:shd w:val="clear" w:color="auto" w:fill="F5F8EE" w:themeFill="accent3" w:themeFillTint="19"/>
    </w:tcPr>
    <w:tblStylePr w:type="firstRow">
      <w:rPr>
        <w:b/>
        <w:bCs/>
      </w:rPr>
      <w:tblPr/>
      <w:tcPr>
        <w:tcBorders>
          <w:top w:val="nil"/>
          <w:left w:val="nil"/>
          <w:bottom w:val="single" w:sz="24" w:space="0" w:color="8064A2" w:themeColor="accent4"/>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5E7530" w:themeFill="accent3" w:themeFillShade="99"/>
      </w:tcPr>
    </w:tblStylePr>
    <w:tblStylePr w:type="firstCol">
      <w:rPr>
        <w:color w:val="FFFFFF" w:themeColor="background1"/>
      </w:rPr>
      <w:tblPr/>
      <w:tcPr>
        <w:tcBorders>
          <w:top w:val="nil"/>
          <w:left w:val="nil"/>
          <w:bottom w:val="nil"/>
          <w:right w:val="nil"/>
          <w:insideH w:val="single" w:sz="4" w:space="0" w:color="5E7530" w:themeColor="accent3" w:themeShade="99"/>
          <w:insideV w:val="nil"/>
        </w:tcBorders>
        <w:shd w:val="clear" w:color="auto" w:fill="5E7530" w:themeFill="accent3" w:themeFillShade="99"/>
      </w:tcPr>
    </w:tblStylePr>
    <w:tblStylePr w:type="lastCol">
      <w:rPr>
        <w:color w:val="FFFFFF" w:themeColor="background1"/>
      </w:rPr>
      <w:tblPr/>
      <w:tcPr>
        <w:tcBorders>
          <w:top w:val="nil"/>
          <w:left w:val="nil"/>
          <w:bottom w:val="nil"/>
          <w:right w:val="nil"/>
          <w:insideH w:val="nil"/>
          <w:insideV w:val="nil"/>
        </w:tcBorders>
        <w:shd w:val="clear" w:color="auto" w:fill="5E7530" w:themeFill="accent3" w:themeFillShade="99"/>
      </w:tcPr>
    </w:tblStylePr>
    <w:tblStylePr w:type="band1Vert">
      <w:tblPr/>
      <w:tcPr>
        <w:shd w:val="clear" w:color="auto" w:fill="D6E3BC" w:themeFill="accent3" w:themeFillTint="66"/>
      </w:tcPr>
    </w:tblStylePr>
    <w:tblStylePr w:type="band1Horz">
      <w:tblPr/>
      <w:tcPr>
        <w:shd w:val="clear" w:color="auto" w:fill="CDDDAC" w:themeFill="accent3" w:themeFillTint="7F"/>
      </w:tcPr>
    </w:tblStylePr>
  </w:style>
  <w:style w:type="table" w:styleId="ColorfulShading-Accent4">
    <w:name w:val="Colorful Shading Accent 4"/>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9BBB59" w:themeColor="accent3"/>
        <w:left w:val="single" w:sz="4" w:space="0" w:color="8064A2" w:themeColor="accent4"/>
        <w:bottom w:val="single" w:sz="4" w:space="0" w:color="8064A2" w:themeColor="accent4"/>
        <w:right w:val="single" w:sz="4" w:space="0" w:color="8064A2" w:themeColor="accent4"/>
        <w:insideH w:val="single" w:sz="4" w:space="0" w:color="FFFFFF" w:themeColor="background1"/>
        <w:insideV w:val="single" w:sz="4" w:space="0" w:color="FFFFFF" w:themeColor="background1"/>
      </w:tblBorders>
    </w:tblPr>
    <w:tcPr>
      <w:shd w:val="clear" w:color="auto" w:fill="F2EFF6" w:themeFill="accent4" w:themeFillTint="19"/>
    </w:tcPr>
    <w:tblStylePr w:type="firstRow">
      <w:rPr>
        <w:b/>
        <w:bCs/>
      </w:rPr>
      <w:tblPr/>
      <w:tcPr>
        <w:tcBorders>
          <w:top w:val="nil"/>
          <w:left w:val="nil"/>
          <w:bottom w:val="single" w:sz="24" w:space="0" w:color="9BBB59" w:themeColor="accent3"/>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4C3B62" w:themeFill="accent4" w:themeFillShade="99"/>
      </w:tcPr>
    </w:tblStylePr>
    <w:tblStylePr w:type="firstCol">
      <w:rPr>
        <w:color w:val="FFFFFF" w:themeColor="background1"/>
      </w:rPr>
      <w:tblPr/>
      <w:tcPr>
        <w:tcBorders>
          <w:top w:val="nil"/>
          <w:left w:val="nil"/>
          <w:bottom w:val="nil"/>
          <w:right w:val="nil"/>
          <w:insideH w:val="single" w:sz="4" w:space="0" w:color="4C3B62" w:themeColor="accent4" w:themeShade="99"/>
          <w:insideV w:val="nil"/>
        </w:tcBorders>
        <w:shd w:val="clear" w:color="auto" w:fill="4C3B62" w:themeFill="accent4" w:themeFillShade="99"/>
      </w:tcPr>
    </w:tblStylePr>
    <w:tblStylePr w:type="lastCol">
      <w:rPr>
        <w:color w:val="FFFFFF" w:themeColor="background1"/>
      </w:rPr>
      <w:tblPr/>
      <w:tcPr>
        <w:tcBorders>
          <w:top w:val="nil"/>
          <w:left w:val="nil"/>
          <w:bottom w:val="nil"/>
          <w:right w:val="nil"/>
          <w:insideH w:val="nil"/>
          <w:insideV w:val="nil"/>
        </w:tcBorders>
        <w:shd w:val="clear" w:color="auto" w:fill="4C3B62" w:themeFill="accent4" w:themeFillShade="99"/>
      </w:tcPr>
    </w:tblStylePr>
    <w:tblStylePr w:type="band1Vert">
      <w:tblPr/>
      <w:tcPr>
        <w:shd w:val="clear" w:color="auto" w:fill="CCC0D9" w:themeFill="accent4" w:themeFillTint="66"/>
      </w:tcPr>
    </w:tblStylePr>
    <w:tblStylePr w:type="band1Horz">
      <w:tblPr/>
      <w:tcPr>
        <w:shd w:val="clear" w:color="auto" w:fill="BFB1D0" w:themeFill="accent4" w:themeFillTint="7F"/>
      </w:tcPr>
    </w:tblStylePr>
    <w:tblStylePr w:type="neCell">
      <w:rPr>
        <w:color w:val="000000" w:themeColor="text1"/>
      </w:rPr>
    </w:tblStylePr>
    <w:tblStylePr w:type="nwCell">
      <w:rPr>
        <w:color w:val="000000" w:themeColor="text1"/>
      </w:rPr>
    </w:tblStylePr>
  </w:style>
  <w:style w:type="table" w:styleId="ColorfulShading-Accent5">
    <w:name w:val="Colorful Shading Accent 5"/>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F79646" w:themeColor="accent6"/>
        <w:left w:val="single" w:sz="4" w:space="0" w:color="4BACC6" w:themeColor="accent5"/>
        <w:bottom w:val="single" w:sz="4" w:space="0" w:color="4BACC6" w:themeColor="accent5"/>
        <w:right w:val="single" w:sz="4" w:space="0" w:color="4BACC6" w:themeColor="accent5"/>
        <w:insideH w:val="single" w:sz="4" w:space="0" w:color="FFFFFF" w:themeColor="background1"/>
        <w:insideV w:val="single" w:sz="4" w:space="0" w:color="FFFFFF" w:themeColor="background1"/>
      </w:tblBorders>
    </w:tblPr>
    <w:tcPr>
      <w:shd w:val="clear" w:color="auto" w:fill="EDF6F9" w:themeFill="accent5" w:themeFillTint="19"/>
    </w:tcPr>
    <w:tblStylePr w:type="firstRow">
      <w:rPr>
        <w:b/>
        <w:bCs/>
      </w:rPr>
      <w:tblPr/>
      <w:tcPr>
        <w:tcBorders>
          <w:top w:val="nil"/>
          <w:left w:val="nil"/>
          <w:bottom w:val="single" w:sz="24" w:space="0" w:color="F79646" w:themeColor="accent6"/>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276A7C" w:themeFill="accent5" w:themeFillShade="99"/>
      </w:tcPr>
    </w:tblStylePr>
    <w:tblStylePr w:type="firstCol">
      <w:rPr>
        <w:color w:val="FFFFFF" w:themeColor="background1"/>
      </w:rPr>
      <w:tblPr/>
      <w:tcPr>
        <w:tcBorders>
          <w:top w:val="nil"/>
          <w:left w:val="nil"/>
          <w:bottom w:val="nil"/>
          <w:right w:val="nil"/>
          <w:insideH w:val="single" w:sz="4" w:space="0" w:color="276A7C" w:themeColor="accent5" w:themeShade="99"/>
          <w:insideV w:val="nil"/>
        </w:tcBorders>
        <w:shd w:val="clear" w:color="auto" w:fill="276A7C" w:themeFill="accent5" w:themeFillShade="99"/>
      </w:tcPr>
    </w:tblStylePr>
    <w:tblStylePr w:type="lastCol">
      <w:rPr>
        <w:color w:val="FFFFFF" w:themeColor="background1"/>
      </w:rPr>
      <w:tblPr/>
      <w:tcPr>
        <w:tcBorders>
          <w:top w:val="nil"/>
          <w:left w:val="nil"/>
          <w:bottom w:val="nil"/>
          <w:right w:val="nil"/>
          <w:insideH w:val="nil"/>
          <w:insideV w:val="nil"/>
        </w:tcBorders>
        <w:shd w:val="clear" w:color="auto" w:fill="276A7C" w:themeFill="accent5" w:themeFillShade="99"/>
      </w:tcPr>
    </w:tblStylePr>
    <w:tblStylePr w:type="band1Vert">
      <w:tblPr/>
      <w:tcPr>
        <w:shd w:val="clear" w:color="auto" w:fill="B6DDE8" w:themeFill="accent5" w:themeFillTint="66"/>
      </w:tcPr>
    </w:tblStylePr>
    <w:tblStylePr w:type="band1Horz">
      <w:tblPr/>
      <w:tcPr>
        <w:shd w:val="clear" w:color="auto" w:fill="A5D5E2" w:themeFill="accent5" w:themeFillTint="7F"/>
      </w:tcPr>
    </w:tblStylePr>
    <w:tblStylePr w:type="neCell">
      <w:rPr>
        <w:color w:val="000000" w:themeColor="text1"/>
      </w:rPr>
    </w:tblStylePr>
    <w:tblStylePr w:type="nwCell">
      <w:rPr>
        <w:color w:val="000000" w:themeColor="text1"/>
      </w:rPr>
    </w:tblStylePr>
  </w:style>
  <w:style w:type="table" w:styleId="ColorfulShading-Accent6">
    <w:name w:val="Colorful Shading Accent 6"/>
    <w:basedOn w:val="TableNormal"/>
    <w:uiPriority w:val="71"/>
    <w:rsid w:val="00CB0664"/>
    <w:pPr>
      <w:spacing w:after="0" w:line="240" w:lineRule="auto"/>
    </w:pPr>
    <w:rPr>
      <w:color w:val="000000" w:themeColor="text1"/>
      <w:lang w:val="sv-SE" w:eastAsia="en-US" w:bidi="ar-SA"/>
    </w:rPr>
    <w:tblPr>
      <w:tblStyleRowBandSize w:val="1"/>
      <w:tblStyleColBandSize w:val="1"/>
      <w:tblBorders>
        <w:top w:val="single" w:sz="24" w:space="0" w:color="4BACC6" w:themeColor="accent5"/>
        <w:left w:val="single" w:sz="4" w:space="0" w:color="F79646" w:themeColor="accent6"/>
        <w:bottom w:val="single" w:sz="4" w:space="0" w:color="F79646" w:themeColor="accent6"/>
        <w:right w:val="single" w:sz="4" w:space="0" w:color="F79646" w:themeColor="accent6"/>
        <w:insideH w:val="single" w:sz="4" w:space="0" w:color="FFFFFF" w:themeColor="background1"/>
        <w:insideV w:val="single" w:sz="4" w:space="0" w:color="FFFFFF" w:themeColor="background1"/>
      </w:tblBorders>
    </w:tblPr>
    <w:tcPr>
      <w:shd w:val="clear" w:color="auto" w:fill="FEF4EC" w:themeFill="accent6" w:themeFillTint="19"/>
    </w:tcPr>
    <w:tblStylePr w:type="firstRow">
      <w:rPr>
        <w:b/>
        <w:bCs/>
      </w:rPr>
      <w:tblPr/>
      <w:tcPr>
        <w:tcBorders>
          <w:top w:val="nil"/>
          <w:left w:val="nil"/>
          <w:bottom w:val="single" w:sz="24" w:space="0" w:color="4BACC6" w:themeColor="accent5"/>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B65608" w:themeFill="accent6" w:themeFillShade="99"/>
      </w:tcPr>
    </w:tblStylePr>
    <w:tblStylePr w:type="firstCol">
      <w:rPr>
        <w:color w:val="FFFFFF" w:themeColor="background1"/>
      </w:rPr>
      <w:tblPr/>
      <w:tcPr>
        <w:tcBorders>
          <w:top w:val="nil"/>
          <w:left w:val="nil"/>
          <w:bottom w:val="nil"/>
          <w:right w:val="nil"/>
          <w:insideH w:val="single" w:sz="4" w:space="0" w:color="B65608" w:themeColor="accent6" w:themeShade="99"/>
          <w:insideV w:val="nil"/>
        </w:tcBorders>
        <w:shd w:val="clear" w:color="auto" w:fill="B65608" w:themeFill="accent6" w:themeFillShade="99"/>
      </w:tcPr>
    </w:tblStylePr>
    <w:tblStylePr w:type="lastCol">
      <w:rPr>
        <w:color w:val="FFFFFF" w:themeColor="background1"/>
      </w:rPr>
      <w:tblPr/>
      <w:tcPr>
        <w:tcBorders>
          <w:top w:val="nil"/>
          <w:left w:val="nil"/>
          <w:bottom w:val="nil"/>
          <w:right w:val="nil"/>
          <w:insideH w:val="nil"/>
          <w:insideV w:val="nil"/>
        </w:tcBorders>
        <w:shd w:val="clear" w:color="auto" w:fill="B65608" w:themeFill="accent6" w:themeFillShade="99"/>
      </w:tcPr>
    </w:tblStylePr>
    <w:tblStylePr w:type="band1Vert">
      <w:tblPr/>
      <w:tcPr>
        <w:shd w:val="clear" w:color="auto" w:fill="FBD4B4" w:themeFill="accent6" w:themeFillTint="66"/>
      </w:tcPr>
    </w:tblStylePr>
    <w:tblStylePr w:type="band1Horz">
      <w:tblPr/>
      <w:tcPr>
        <w:shd w:val="clear" w:color="auto" w:fill="FBCAA2" w:themeFill="accent6" w:themeFillTint="7F"/>
      </w:tcPr>
    </w:tblStylePr>
    <w:tblStylePr w:type="neCell">
      <w:rPr>
        <w:color w:val="000000" w:themeColor="text1"/>
      </w:rPr>
    </w:tblStylePr>
    <w:tblStylePr w:type="nwCell">
      <w:rPr>
        <w:color w:val="000000" w:themeColor="text1"/>
      </w:rPr>
    </w:tblStylePr>
  </w:style>
  <w:style w:type="table" w:styleId="ColorfulList">
    <w:name w:val="Colorful List"/>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ColorfulList-Accent1">
    <w:name w:val="Colorful List Accent 1"/>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2F8" w:themeFill="accen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3DFEE" w:themeFill="accent1" w:themeFillTint="3F"/>
      </w:tcPr>
    </w:tblStylePr>
    <w:tblStylePr w:type="band1Horz">
      <w:tblPr/>
      <w:tcPr>
        <w:shd w:val="clear" w:color="auto" w:fill="DBE5F1" w:themeFill="accent1" w:themeFillTint="33"/>
      </w:tcPr>
    </w:tblStylePr>
  </w:style>
  <w:style w:type="table" w:styleId="ColorfulList-Accent2">
    <w:name w:val="Colorful List Accent 2"/>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8EDED" w:themeFill="accent2"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FD3D2" w:themeFill="accent2" w:themeFillTint="3F"/>
      </w:tcPr>
    </w:tblStylePr>
    <w:tblStylePr w:type="band1Horz">
      <w:tblPr/>
      <w:tcPr>
        <w:shd w:val="clear" w:color="auto" w:fill="F2DBDB" w:themeFill="accent2" w:themeFillTint="33"/>
      </w:tcPr>
    </w:tblStylePr>
  </w:style>
  <w:style w:type="table" w:styleId="ColorfulList-Accent3">
    <w:name w:val="Colorful List Accent 3"/>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5F8EE" w:themeFill="accent3" w:themeFillTint="19"/>
    </w:tcPr>
    <w:tblStylePr w:type="firstRow">
      <w:rPr>
        <w:b/>
        <w:bCs/>
        <w:color w:val="FFFFFF" w:themeColor="background1"/>
      </w:rPr>
      <w:tblPr/>
      <w:tcPr>
        <w:tcBorders>
          <w:bottom w:val="single" w:sz="12" w:space="0" w:color="FFFFFF" w:themeColor="background1"/>
        </w:tcBorders>
        <w:shd w:val="clear" w:color="auto" w:fill="664E82" w:themeFill="accent4" w:themeFillShade="CC"/>
      </w:tcPr>
    </w:tblStylePr>
    <w:tblStylePr w:type="lastRow">
      <w:rPr>
        <w:b/>
        <w:bCs/>
        <w:color w:val="664E82" w:themeColor="accent4"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E6EED5" w:themeFill="accent3" w:themeFillTint="3F"/>
      </w:tcPr>
    </w:tblStylePr>
    <w:tblStylePr w:type="band1Horz">
      <w:tblPr/>
      <w:tcPr>
        <w:shd w:val="clear" w:color="auto" w:fill="EAF1DD" w:themeFill="accent3" w:themeFillTint="33"/>
      </w:tcPr>
    </w:tblStylePr>
  </w:style>
  <w:style w:type="table" w:styleId="ColorfulList-Accent4">
    <w:name w:val="Colorful List Accent 4"/>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2EFF6" w:themeFill="accent4" w:themeFillTint="19"/>
    </w:tcPr>
    <w:tblStylePr w:type="firstRow">
      <w:rPr>
        <w:b/>
        <w:bCs/>
        <w:color w:val="FFFFFF" w:themeColor="background1"/>
      </w:rPr>
      <w:tblPr/>
      <w:tcPr>
        <w:tcBorders>
          <w:bottom w:val="single" w:sz="12" w:space="0" w:color="FFFFFF" w:themeColor="background1"/>
        </w:tcBorders>
        <w:shd w:val="clear" w:color="auto" w:fill="7E9C40" w:themeFill="accent3" w:themeFillShade="CC"/>
      </w:tcPr>
    </w:tblStylePr>
    <w:tblStylePr w:type="lastRow">
      <w:rPr>
        <w:b/>
        <w:bCs/>
        <w:color w:val="7E9C40" w:themeColor="accent3"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FD8E8" w:themeFill="accent4" w:themeFillTint="3F"/>
      </w:tcPr>
    </w:tblStylePr>
    <w:tblStylePr w:type="band1Horz">
      <w:tblPr/>
      <w:tcPr>
        <w:shd w:val="clear" w:color="auto" w:fill="E5DFEC" w:themeFill="accent4" w:themeFillTint="33"/>
      </w:tcPr>
    </w:tblStylePr>
  </w:style>
  <w:style w:type="table" w:styleId="ColorfulList-Accent5">
    <w:name w:val="Colorful List Accent 5"/>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EDF6F9" w:themeFill="accent5" w:themeFillTint="19"/>
    </w:tcPr>
    <w:tblStylePr w:type="firstRow">
      <w:rPr>
        <w:b/>
        <w:bCs/>
        <w:color w:val="FFFFFF" w:themeColor="background1"/>
      </w:rPr>
      <w:tblPr/>
      <w:tcPr>
        <w:tcBorders>
          <w:bottom w:val="single" w:sz="12" w:space="0" w:color="FFFFFF" w:themeColor="background1"/>
        </w:tcBorders>
        <w:shd w:val="clear" w:color="auto" w:fill="F2730A" w:themeFill="accent6" w:themeFillShade="CC"/>
      </w:tcPr>
    </w:tblStylePr>
    <w:tblStylePr w:type="lastRow">
      <w:rPr>
        <w:b/>
        <w:bCs/>
        <w:color w:val="F2730A" w:themeColor="accent6"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D2EAF1" w:themeFill="accent5" w:themeFillTint="3F"/>
      </w:tcPr>
    </w:tblStylePr>
    <w:tblStylePr w:type="band1Horz">
      <w:tblPr/>
      <w:tcPr>
        <w:shd w:val="clear" w:color="auto" w:fill="DAEEF3" w:themeFill="accent5" w:themeFillTint="33"/>
      </w:tcPr>
    </w:tblStylePr>
  </w:style>
  <w:style w:type="table" w:styleId="ColorfulList-Accent6">
    <w:name w:val="Colorful List Accent 6"/>
    <w:basedOn w:val="TableNormal"/>
    <w:uiPriority w:val="72"/>
    <w:rsid w:val="00CB0664"/>
    <w:pPr>
      <w:spacing w:after="0" w:line="240" w:lineRule="auto"/>
    </w:pPr>
    <w:rPr>
      <w:color w:val="000000" w:themeColor="text1"/>
      <w:lang w:val="sv-SE" w:eastAsia="en-US" w:bidi="ar-SA"/>
    </w:rPr>
    <w:tblPr>
      <w:tblStyleRowBandSize w:val="1"/>
      <w:tblStyleColBandSize w:val="1"/>
    </w:tblPr>
    <w:tcPr>
      <w:shd w:val="clear" w:color="auto" w:fill="FEF4EC" w:themeFill="accent6" w:themeFillTint="19"/>
    </w:tcPr>
    <w:tblStylePr w:type="firstRow">
      <w:rPr>
        <w:b/>
        <w:bCs/>
        <w:color w:val="FFFFFF" w:themeColor="background1"/>
      </w:rPr>
      <w:tblPr/>
      <w:tcPr>
        <w:tcBorders>
          <w:bottom w:val="single" w:sz="12" w:space="0" w:color="FFFFFF" w:themeColor="background1"/>
        </w:tcBorders>
        <w:shd w:val="clear" w:color="auto" w:fill="348DA5" w:themeFill="accent5" w:themeFillShade="CC"/>
      </w:tcPr>
    </w:tblStylePr>
    <w:tblStylePr w:type="lastRow">
      <w:rPr>
        <w:b/>
        <w:bCs/>
        <w:color w:val="348DA5" w:themeColor="accent5"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FDE4D0" w:themeFill="accent6" w:themeFillTint="3F"/>
      </w:tcPr>
    </w:tblStylePr>
    <w:tblStylePr w:type="band1Horz">
      <w:tblPr/>
      <w:tcPr>
        <w:shd w:val="clear" w:color="auto" w:fill="FDE9D9" w:themeFill="accent6" w:themeFillTint="33"/>
      </w:tcPr>
    </w:tblStylePr>
  </w:style>
  <w:style w:type="table" w:styleId="ColorfulGrid">
    <w:name w:val="Colorful Grid"/>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ColorfulGrid-Accent1">
    <w:name w:val="Colorful Grid Accent 1"/>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BE5F1" w:themeFill="accent1" w:themeFillTint="33"/>
    </w:tcPr>
    <w:tblStylePr w:type="firstRow">
      <w:rPr>
        <w:b/>
        <w:bCs/>
      </w:rPr>
      <w:tblPr/>
      <w:tcPr>
        <w:shd w:val="clear" w:color="auto" w:fill="B8CCE4" w:themeFill="accent1" w:themeFillTint="66"/>
      </w:tcPr>
    </w:tblStylePr>
    <w:tblStylePr w:type="lastRow">
      <w:rPr>
        <w:b/>
        <w:bCs/>
        <w:color w:val="000000" w:themeColor="text1"/>
      </w:rPr>
      <w:tblPr/>
      <w:tcPr>
        <w:shd w:val="clear" w:color="auto" w:fill="B8CCE4" w:themeFill="accent1" w:themeFillTint="66"/>
      </w:tcPr>
    </w:tblStylePr>
    <w:tblStylePr w:type="firstCol">
      <w:rPr>
        <w:color w:val="FFFFFF" w:themeColor="background1"/>
      </w:rPr>
      <w:tblPr/>
      <w:tcPr>
        <w:shd w:val="clear" w:color="auto" w:fill="365F91" w:themeFill="accent1" w:themeFillShade="BF"/>
      </w:tcPr>
    </w:tblStylePr>
    <w:tblStylePr w:type="lastCol">
      <w:rPr>
        <w:color w:val="FFFFFF" w:themeColor="background1"/>
      </w:rPr>
      <w:tblPr/>
      <w:tcPr>
        <w:shd w:val="clear" w:color="auto" w:fill="365F91" w:themeFill="accent1" w:themeFillShade="BF"/>
      </w:tcPr>
    </w:tblStylePr>
    <w:tblStylePr w:type="band1Vert">
      <w:tblPr/>
      <w:tcPr>
        <w:shd w:val="clear" w:color="auto" w:fill="A7BFDE" w:themeFill="accent1" w:themeFillTint="7F"/>
      </w:tcPr>
    </w:tblStylePr>
    <w:tblStylePr w:type="band1Horz">
      <w:tblPr/>
      <w:tcPr>
        <w:shd w:val="clear" w:color="auto" w:fill="A7BFDE" w:themeFill="accent1" w:themeFillTint="7F"/>
      </w:tcPr>
    </w:tblStylePr>
  </w:style>
  <w:style w:type="table" w:styleId="ColorfulGrid-Accent2">
    <w:name w:val="Colorful Grid Accent 2"/>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2DBDB" w:themeFill="accent2" w:themeFillTint="33"/>
    </w:tcPr>
    <w:tblStylePr w:type="firstRow">
      <w:rPr>
        <w:b/>
        <w:bCs/>
      </w:rPr>
      <w:tblPr/>
      <w:tcPr>
        <w:shd w:val="clear" w:color="auto" w:fill="E5B8B7" w:themeFill="accent2" w:themeFillTint="66"/>
      </w:tcPr>
    </w:tblStylePr>
    <w:tblStylePr w:type="lastRow">
      <w:rPr>
        <w:b/>
        <w:bCs/>
        <w:color w:val="000000" w:themeColor="text1"/>
      </w:rPr>
      <w:tblPr/>
      <w:tcPr>
        <w:shd w:val="clear" w:color="auto" w:fill="E5B8B7" w:themeFill="accent2" w:themeFillTint="66"/>
      </w:tcPr>
    </w:tblStylePr>
    <w:tblStylePr w:type="firstCol">
      <w:rPr>
        <w:color w:val="FFFFFF" w:themeColor="background1"/>
      </w:rPr>
      <w:tblPr/>
      <w:tcPr>
        <w:shd w:val="clear" w:color="auto" w:fill="943634" w:themeFill="accent2" w:themeFillShade="BF"/>
      </w:tcPr>
    </w:tblStylePr>
    <w:tblStylePr w:type="lastCol">
      <w:rPr>
        <w:color w:val="FFFFFF" w:themeColor="background1"/>
      </w:rPr>
      <w:tblPr/>
      <w:tcPr>
        <w:shd w:val="clear" w:color="auto" w:fill="943634" w:themeFill="accent2" w:themeFillShade="BF"/>
      </w:tcPr>
    </w:tblStylePr>
    <w:tblStylePr w:type="band1Vert">
      <w:tblPr/>
      <w:tcPr>
        <w:shd w:val="clear" w:color="auto" w:fill="DFA7A6" w:themeFill="accent2" w:themeFillTint="7F"/>
      </w:tcPr>
    </w:tblStylePr>
    <w:tblStylePr w:type="band1Horz">
      <w:tblPr/>
      <w:tcPr>
        <w:shd w:val="clear" w:color="auto" w:fill="DFA7A6" w:themeFill="accent2" w:themeFillTint="7F"/>
      </w:tcPr>
    </w:tblStylePr>
  </w:style>
  <w:style w:type="table" w:styleId="ColorfulGrid-Accent3">
    <w:name w:val="Colorful Grid Accent 3"/>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AF1DD" w:themeFill="accent3" w:themeFillTint="33"/>
    </w:tcPr>
    <w:tblStylePr w:type="firstRow">
      <w:rPr>
        <w:b/>
        <w:bCs/>
      </w:rPr>
      <w:tblPr/>
      <w:tcPr>
        <w:shd w:val="clear" w:color="auto" w:fill="D6E3BC" w:themeFill="accent3" w:themeFillTint="66"/>
      </w:tcPr>
    </w:tblStylePr>
    <w:tblStylePr w:type="lastRow">
      <w:rPr>
        <w:b/>
        <w:bCs/>
        <w:color w:val="000000" w:themeColor="text1"/>
      </w:rPr>
      <w:tblPr/>
      <w:tcPr>
        <w:shd w:val="clear" w:color="auto" w:fill="D6E3BC" w:themeFill="accent3" w:themeFillTint="66"/>
      </w:tcPr>
    </w:tblStylePr>
    <w:tblStylePr w:type="firstCol">
      <w:rPr>
        <w:color w:val="FFFFFF" w:themeColor="background1"/>
      </w:rPr>
      <w:tblPr/>
      <w:tcPr>
        <w:shd w:val="clear" w:color="auto" w:fill="76923C" w:themeFill="accent3" w:themeFillShade="BF"/>
      </w:tcPr>
    </w:tblStylePr>
    <w:tblStylePr w:type="lastCol">
      <w:rPr>
        <w:color w:val="FFFFFF" w:themeColor="background1"/>
      </w:rPr>
      <w:tblPr/>
      <w:tcPr>
        <w:shd w:val="clear" w:color="auto" w:fill="76923C" w:themeFill="accent3" w:themeFillShade="BF"/>
      </w:tcPr>
    </w:tblStylePr>
    <w:tblStylePr w:type="band1Vert">
      <w:tblPr/>
      <w:tcPr>
        <w:shd w:val="clear" w:color="auto" w:fill="CDDDAC" w:themeFill="accent3" w:themeFillTint="7F"/>
      </w:tcPr>
    </w:tblStylePr>
    <w:tblStylePr w:type="band1Horz">
      <w:tblPr/>
      <w:tcPr>
        <w:shd w:val="clear" w:color="auto" w:fill="CDDDAC" w:themeFill="accent3" w:themeFillTint="7F"/>
      </w:tcPr>
    </w:tblStylePr>
  </w:style>
  <w:style w:type="table" w:styleId="ColorfulGrid-Accent4">
    <w:name w:val="Colorful Grid Accent 4"/>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E5DFEC" w:themeFill="accent4" w:themeFillTint="33"/>
    </w:tcPr>
    <w:tblStylePr w:type="firstRow">
      <w:rPr>
        <w:b/>
        <w:bCs/>
      </w:rPr>
      <w:tblPr/>
      <w:tcPr>
        <w:shd w:val="clear" w:color="auto" w:fill="CCC0D9" w:themeFill="accent4" w:themeFillTint="66"/>
      </w:tcPr>
    </w:tblStylePr>
    <w:tblStylePr w:type="lastRow">
      <w:rPr>
        <w:b/>
        <w:bCs/>
        <w:color w:val="000000" w:themeColor="text1"/>
      </w:rPr>
      <w:tblPr/>
      <w:tcPr>
        <w:shd w:val="clear" w:color="auto" w:fill="CCC0D9" w:themeFill="accent4" w:themeFillTint="66"/>
      </w:tcPr>
    </w:tblStylePr>
    <w:tblStylePr w:type="firstCol">
      <w:rPr>
        <w:color w:val="FFFFFF" w:themeColor="background1"/>
      </w:rPr>
      <w:tblPr/>
      <w:tcPr>
        <w:shd w:val="clear" w:color="auto" w:fill="5F497A" w:themeFill="accent4" w:themeFillShade="BF"/>
      </w:tcPr>
    </w:tblStylePr>
    <w:tblStylePr w:type="lastCol">
      <w:rPr>
        <w:color w:val="FFFFFF" w:themeColor="background1"/>
      </w:rPr>
      <w:tblPr/>
      <w:tcPr>
        <w:shd w:val="clear" w:color="auto" w:fill="5F497A" w:themeFill="accent4" w:themeFillShade="BF"/>
      </w:tcPr>
    </w:tblStylePr>
    <w:tblStylePr w:type="band1Vert">
      <w:tblPr/>
      <w:tcPr>
        <w:shd w:val="clear" w:color="auto" w:fill="BFB1D0" w:themeFill="accent4" w:themeFillTint="7F"/>
      </w:tcPr>
    </w:tblStylePr>
    <w:tblStylePr w:type="band1Horz">
      <w:tblPr/>
      <w:tcPr>
        <w:shd w:val="clear" w:color="auto" w:fill="BFB1D0" w:themeFill="accent4" w:themeFillTint="7F"/>
      </w:tcPr>
    </w:tblStylePr>
  </w:style>
  <w:style w:type="table" w:styleId="ColorfulGrid-Accent5">
    <w:name w:val="Colorful Grid Accent 5"/>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DAEEF3" w:themeFill="accent5" w:themeFillTint="33"/>
    </w:tcPr>
    <w:tblStylePr w:type="firstRow">
      <w:rPr>
        <w:b/>
        <w:bCs/>
      </w:rPr>
      <w:tblPr/>
      <w:tcPr>
        <w:shd w:val="clear" w:color="auto" w:fill="B6DDE8" w:themeFill="accent5" w:themeFillTint="66"/>
      </w:tcPr>
    </w:tblStylePr>
    <w:tblStylePr w:type="lastRow">
      <w:rPr>
        <w:b/>
        <w:bCs/>
        <w:color w:val="000000" w:themeColor="text1"/>
      </w:rPr>
      <w:tblPr/>
      <w:tcPr>
        <w:shd w:val="clear" w:color="auto" w:fill="B6DDE8" w:themeFill="accent5" w:themeFillTint="66"/>
      </w:tcPr>
    </w:tblStylePr>
    <w:tblStylePr w:type="firstCol">
      <w:rPr>
        <w:color w:val="FFFFFF" w:themeColor="background1"/>
      </w:rPr>
      <w:tblPr/>
      <w:tcPr>
        <w:shd w:val="clear" w:color="auto" w:fill="31849B" w:themeFill="accent5" w:themeFillShade="BF"/>
      </w:tcPr>
    </w:tblStylePr>
    <w:tblStylePr w:type="lastCol">
      <w:rPr>
        <w:color w:val="FFFFFF" w:themeColor="background1"/>
      </w:rPr>
      <w:tblPr/>
      <w:tcPr>
        <w:shd w:val="clear" w:color="auto" w:fill="31849B" w:themeFill="accent5" w:themeFillShade="BF"/>
      </w:tcPr>
    </w:tblStylePr>
    <w:tblStylePr w:type="band1Vert">
      <w:tblPr/>
      <w:tcPr>
        <w:shd w:val="clear" w:color="auto" w:fill="A5D5E2" w:themeFill="accent5" w:themeFillTint="7F"/>
      </w:tcPr>
    </w:tblStylePr>
    <w:tblStylePr w:type="band1Horz">
      <w:tblPr/>
      <w:tcPr>
        <w:shd w:val="clear" w:color="auto" w:fill="A5D5E2" w:themeFill="accent5" w:themeFillTint="7F"/>
      </w:tcPr>
    </w:tblStylePr>
  </w:style>
  <w:style w:type="table" w:styleId="ColorfulGrid-Accent6">
    <w:name w:val="Colorful Grid Accent 6"/>
    <w:basedOn w:val="TableNormal"/>
    <w:uiPriority w:val="73"/>
    <w:rsid w:val="00CB0664"/>
    <w:pPr>
      <w:spacing w:after="0" w:line="240" w:lineRule="auto"/>
    </w:pPr>
    <w:rPr>
      <w:color w:val="000000" w:themeColor="text1"/>
      <w:lang w:val="sv-SE" w:eastAsia="en-US" w:bidi="ar-SA"/>
    </w:rPr>
    <w:tblPr>
      <w:tblStyleRowBandSize w:val="1"/>
      <w:tblStyleColBandSize w:val="1"/>
      <w:tblBorders>
        <w:insideH w:val="single" w:sz="4" w:space="0" w:color="FFFFFF" w:themeColor="background1"/>
      </w:tblBorders>
    </w:tblPr>
    <w:tcPr>
      <w:shd w:val="clear" w:color="auto" w:fill="FDE9D9" w:themeFill="accent6" w:themeFillTint="33"/>
    </w:tcPr>
    <w:tblStylePr w:type="firstRow">
      <w:rPr>
        <w:b/>
        <w:bCs/>
      </w:rPr>
      <w:tblPr/>
      <w:tcPr>
        <w:shd w:val="clear" w:color="auto" w:fill="FBD4B4" w:themeFill="accent6" w:themeFillTint="66"/>
      </w:tcPr>
    </w:tblStylePr>
    <w:tblStylePr w:type="lastRow">
      <w:rPr>
        <w:b/>
        <w:bCs/>
        <w:color w:val="000000" w:themeColor="text1"/>
      </w:rPr>
      <w:tblPr/>
      <w:tcPr>
        <w:shd w:val="clear" w:color="auto" w:fill="FBD4B4" w:themeFill="accent6" w:themeFillTint="66"/>
      </w:tcPr>
    </w:tblStylePr>
    <w:tblStylePr w:type="firstCol">
      <w:rPr>
        <w:color w:val="FFFFFF" w:themeColor="background1"/>
      </w:rPr>
      <w:tblPr/>
      <w:tcPr>
        <w:shd w:val="clear" w:color="auto" w:fill="E36C0A" w:themeFill="accent6" w:themeFillShade="BF"/>
      </w:tcPr>
    </w:tblStylePr>
    <w:tblStylePr w:type="lastCol">
      <w:rPr>
        <w:color w:val="FFFFFF" w:themeColor="background1"/>
      </w:rPr>
      <w:tblPr/>
      <w:tcPr>
        <w:shd w:val="clear" w:color="auto" w:fill="E36C0A" w:themeFill="accent6" w:themeFillShade="BF"/>
      </w:tcPr>
    </w:tblStylePr>
    <w:tblStylePr w:type="band1Vert">
      <w:tblPr/>
      <w:tcPr>
        <w:shd w:val="clear" w:color="auto" w:fill="FBCAA2" w:themeFill="accent6" w:themeFillTint="7F"/>
      </w:tcPr>
    </w:tblStylePr>
    <w:tblStylePr w:type="band1Horz">
      <w:tblPr/>
      <w:tcPr>
        <w:shd w:val="clear" w:color="auto" w:fill="FBCAA2" w:themeFill="accent6" w:themeFillTint="7F"/>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3.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fontTable" Target="fontTable.xml"/><Relationship Id="rId16" Type="http://schemas.openxmlformats.org/officeDocument/2006/relationships/image" Target="media/image1.png"/><Relationship Id="rId17" Type="http://schemas.openxmlformats.org/officeDocument/2006/relationships/image" Target="media/image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EF278816-EC6F-A645-907D-7F25AECB1D4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1</Pages>
  <Words>0</Words>
  <Characters>0</Characters>
  <Application>Microsoft Office Word</Application>
  <DocSecurity>0</DocSecurity>
  <Lines>0</Lines>
  <Paragraphs>0</Paragraphs>
  <ScaleCrop>false</ScaleCrop>
  <HeadingPairs>
    <vt:vector size="2" baseType="variant">
      <vt:variant>
        <vt:lpstr>Title</vt:lpstr>
      </vt:variant>
      <vt:variant>
        <vt:i4>1</vt:i4>
      </vt:variant>
    </vt:vector>
  </HeadingPairs>
  <TitlesOfParts>
    <vt:vector size="1" baseType="lpstr">
      <vt:lpstr/>
    </vt:vector>
  </TitlesOfParts>
  <Manager/>
  <Company/>
  <LinksUpToDate>false</LinksUpToDate>
  <CharactersWithSpaces>0</CharactersWithSpaces>
  <SharedDoc>false</SharedDoc>
  <HyperlinkBase/>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python-docx</dc:creator>
  <cp:keywords/>
  <dc:description>generated by python-docx</dc:description>
  <cp:lastModifiedBy>Klas Magnusson</cp:lastModifiedBy>
  <cp:revision>6</cp:revision>
  <dcterms:created xsi:type="dcterms:W3CDTF">2023-02-11T00:19:00Z</dcterms:created>
  <dcterms:modified xsi:type="dcterms:W3CDTF">2023-03-30T20:23:00Z</dcterms:modified>
  <cp:category/>
</cp:coreProperties>
</file>