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21861-2021 i Bodens kommun</w:t>
      </w:r>
    </w:p>
    <w:p>
      <w:r>
        <w:t>Detta dokument behandlar höga naturvärden i avverkningsanmälan A 21861-2021 i Bodens kommun. Denna avverkningsanmälan inkom 2021-05-06 00:00:00 och omfattar 34,6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finnros (VU, §8) och gråtrut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21861-2021 karta.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7320045, E 808055 i SWEREF 99 TM.</w:t>
      </w:r>
    </w:p>
    <w:p>
      <w:pPr>
        <w:pStyle w:val="Heading1"/>
      </w:pPr>
      <w:r>
        <w:t>Fridlysta arter</w:t>
      </w:r>
    </w:p>
    <w:p>
      <w:r>
        <w:t>Följande fridlysta arter har sina livsmiljöer och växtplatser i den avverkningsanmälda skogen: finnros (VU, §8) och gråtrut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Finnros (VU, §8)</w:t>
      </w:r>
      <w:r>
        <w:t xml:space="preserve"> förekommer från Ångermanland till Norrbotten och växer bland annat i fuktig, gärna gles barrskog, vid kärrkanter. Alla förändringar som torkar ut lokalerna missgynnar arten. Dikning och slutavverkning måste undvikas och lokalerna måste skyddas och ges en skötsel inriktad på att bevara och gynna arten. Arten är fridlyst enligt 8 § artskyddsförordningen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