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46993-2024 i Bodens kommun</w:t>
      </w:r>
    </w:p>
    <w:p>
      <w:r>
        <w:t>Detta dokument behandlar höga naturvärden i avverkningsanmälan A 46993-2024 i Bodens kommun. Denna avverkningsanmälan inkom 2024-10-21 00:00:00 och omfattar 29,3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fläckporing (VU), gräddporing (VU), knärot (VU, §8), lateritticka (VU), smalfotad taggsvamp (VU), blanksvart spiklav (NT), blå taggsvamp (NT), blågrå svartspik (NT), dvärgbägarlav (NT), garnlav (NT), gränsticka (NT), kolflarnlav (NT), kortskaftad ärgspik (NT), mörk kolflarnlav (NT), nordtagging (NT), orange taggsvamp (NT), spillkråka (NT, §4), svart taggsvamp (NT), vaddporing (NT), vedflamlav (NT), vedskivlav (NT), dropptaggsvamp (S), nästlav (S), skarp dropptaggsvamp (S), vedticka (S) och tjäder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704518"/>
            <wp:docPr id="1" name="Picture 1"/>
            <wp:cNvGraphicFramePr>
              <a:graphicFrameLocks noChangeAspect="1"/>
            </wp:cNvGraphicFramePr>
            <a:graphic>
              <a:graphicData uri="http://schemas.openxmlformats.org/drawingml/2006/picture">
                <pic:pic>
                  <pic:nvPicPr>
                    <pic:cNvPr id="0" name="A 46993-2024 karta.png"/>
                    <pic:cNvPicPr/>
                  </pic:nvPicPr>
                  <pic:blipFill>
                    <a:blip r:embed="rId16"/>
                    <a:stretch>
                      <a:fillRect/>
                    </a:stretch>
                  </pic:blipFill>
                  <pic:spPr>
                    <a:xfrm>
                      <a:off x="0" y="0"/>
                      <a:ext cx="5486400" cy="47045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7349770, E 809665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Fläckporing (VU)</w:t>
      </w:r>
      <w:r>
        <w:t xml:space="preserve"> är en mycket bra signalart som visar på tallnaturskogar med höga naturvärden. Den är placerad högst upp i Skogsstyrelsens värdepyramid för bedömning av skog med höga naturvärden och indikerar områden som är mer eller mindre opåverkade av skogsbruk och där det funnits en kontinuitet av tallågor i olika nedbrytningsstadier. För att på lång sikt bibehålla livskraftiga populationer i ett område behövs troligen större skyddade områden som tillåter att man upprätthåller en naturlig branddynamik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Lateritticka (VU)</w:t>
      </w:r>
      <w:r>
        <w:t xml:space="preserve"> är en sällsynt art knuten till gamla urskogsartade tallnaturskogar med kontinentalt klimat och lång kontinuitet av grova lågor och gamla silverfuror. Den växer främst på liggande stammar som härrör från tallar som under många år stått avbarkade och döda innan de fallit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spillkråka (NT,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5855941"/>
            <wp:docPr id="2" name="Picture 2"/>
            <wp:cNvGraphicFramePr>
              <a:graphicFrameLocks noChangeAspect="1"/>
            </wp:cNvGraphicFramePr>
            <a:graphic>
              <a:graphicData uri="http://schemas.openxmlformats.org/drawingml/2006/picture">
                <pic:pic>
                  <pic:nvPicPr>
                    <pic:cNvPr id="0" name="A 46993-2024 karta knärot.png"/>
                    <pic:cNvPicPr/>
                  </pic:nvPicPr>
                  <pic:blipFill>
                    <a:blip r:embed="rId17"/>
                    <a:stretch>
                      <a:fillRect/>
                    </a:stretch>
                  </pic:blipFill>
                  <pic:spPr>
                    <a:xfrm>
                      <a:off x="0" y="0"/>
                      <a:ext cx="5486400" cy="58559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7349770, E 809665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