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26040-2026 i Bodens kommun</w:t>
      </w:r>
    </w:p>
    <w:p>
      <w:r>
        <w:t>Denna tillsynsbegäran behandlar höga naturvärden i avverkningsanmälan A 26040-2026 i Bodens kommun som inkom 2026-06-08 och omfattar 32,6 ha.</w:t>
      </w:r>
    </w:p>
    <w:p>
      <w:pPr>
        <w:pStyle w:val="Caption"/>
      </w:pPr>
      <w:r>
        <w:drawing>
          <wp:inline xmlns:a="http://schemas.openxmlformats.org/drawingml/2006/main" xmlns:pic="http://schemas.openxmlformats.org/drawingml/2006/picture">
            <wp:extent cx="5486400" cy="5135228"/>
            <wp:docPr id="1" name="Picture 1"/>
            <wp:cNvGraphicFramePr>
              <a:graphicFrameLocks noChangeAspect="1"/>
            </wp:cNvGraphicFramePr>
            <a:graphic>
              <a:graphicData uri="http://schemas.openxmlformats.org/drawingml/2006/picture">
                <pic:pic>
                  <pic:nvPicPr>
                    <pic:cNvPr id="0" name="A 26040-2026 karta.png"/>
                    <pic:cNvPicPr/>
                  </pic:nvPicPr>
                  <pic:blipFill>
                    <a:blip r:embed="rId16"/>
                    <a:stretch>
                      <a:fillRect/>
                    </a:stretch>
                  </pic:blipFill>
                  <pic:spPr>
                    <a:xfrm>
                      <a:off x="0" y="0"/>
                      <a:ext cx="5486400" cy="5135228"/>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7325006, E 772541 i SWEREF 99 TM.</w:t>
      </w:r>
    </w:p>
    <w:p>
      <w:r>
        <w:t>I avverkningsanmälan finns fynd av 3 naturvårdsarter, varav 2 är rödlistade, 1 är fridlyst, 3 är typiska (T) och 1 är signalart (S): doftticka (VU, T, §8), lunglav (NT, T) och bårdlav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Doftticka (VU, §8)</w:t>
      </w:r>
      <w:r>
        <w:t xml:space="preserve"> är rödlistad som sårbar (VU) och fridlyst enligt 8§ artskyddsförordningen. Den är även globalt rödlistad som Nära hotad (NT) vilket innebär att Sverige har ett internationellt ansvar för arten. Doftticka är beroende av hög och jämn luftfuktighet i gamla, ostörda skogsmiljöer och är känslig för snabba förändringar av ljus-/vindförhållanden eller uttorkning. Dofttickan är placerad i toppen av Skogsstyrelsens värdepyramid för bedömning av skog med höga naturvärden och signalerar alltid gamla sälgar och skogsområden med höga naturvärden. Avverkning av värdträd (främst sälg) utgör det största hotet och när gamla och olikåldriga skogar med sälg avverkas försvinner oftast sälgen. Dofttickan har minskat med ca 30 % under de senaste 30 åren och är typisk art för </w:t>
      </w:r>
      <w:r>
        <w:rPr>
          <w:i/>
        </w:rPr>
        <w:t>9010 Taiga</w:t>
      </w:r>
      <w:r>
        <w:t xml:space="preserve"> och</w:t>
      </w:r>
      <w:r>
        <w:rPr>
          <w:i/>
        </w:rPr>
        <w:t xml:space="preserve"> 9050 Näringsrik granskog </w:t>
      </w:r>
      <w:r>
        <w:t>(IUCN Redlist, 2024; Nitare &amp; Skogsstyrelsen, 2019; SLU Artdatabanken, 2024).</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Bårdlav</w:t>
      </w:r>
      <w:r>
        <w:t xml:space="preserve"> signalerar miljöer med höga naturvärden och på lokalerna finns vanligtvis många andra ovanliga och rödlistade arter. Den visar även på platser med hög och jämn luftfuktighet. På bårdlav och andra njurlavar (Nephroma) kan de sällsynta parasiterna </w:t>
      </w:r>
      <w:r>
        <w:rPr>
          <w:i/>
        </w:rPr>
        <w:t xml:space="preserve">Protounguicularia nephromatis </w:t>
      </w:r>
      <w:r>
        <w:t xml:space="preserve">(VU) och </w:t>
      </w:r>
      <w:r>
        <w:rPr>
          <w:i/>
        </w:rPr>
        <w:t xml:space="preserve">Tremella nephromatis </w:t>
      </w:r>
      <w:r>
        <w:t xml:space="preserve">(DD) påträffas. Bårdlav är typisk art för </w:t>
      </w:r>
      <w:r>
        <w:rPr>
          <w:i/>
        </w:rPr>
        <w:t xml:space="preserve">9010 Taiga, 9020 Nordlig ädellövskog, 9070 Trädklädd betesmark, 9110 Näringsfattig bokskog, 9160 Näringsrik ekskog, 9180 Ädellövskog i branter </w:t>
      </w:r>
      <w:r>
        <w:t>och</w:t>
      </w:r>
      <w:r>
        <w:rPr>
          <w:i/>
        </w:rPr>
        <w:t xml:space="preserve"> 9190 Näringsfattig ekskog</w:t>
      </w:r>
      <w:r>
        <w:t xml:space="preserve"> (SLU Artdatabanken, 2026; Nitare &amp; Skogsstyrelsen, 2019).</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