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31635-2024 i Bodens kommun</w:t>
      </w:r>
    </w:p>
    <w:p>
      <w:r>
        <w:t>Detta klagomål behandlar höga naturvärden i avverkningsanmälan A 31635-2024 i Bodens kommun som inkom 2024-08-02 och omfattar 15,9 ha.</w:t>
      </w:r>
    </w:p>
    <w:p>
      <w:pPr>
        <w:pStyle w:val="Caption"/>
      </w:pPr>
      <w:r>
        <w:drawing>
          <wp:inline xmlns:a="http://schemas.openxmlformats.org/drawingml/2006/main" xmlns:pic="http://schemas.openxmlformats.org/drawingml/2006/picture">
            <wp:extent cx="4821142" cy="5724000"/>
            <wp:docPr id="1" name="Picture 1"/>
            <wp:cNvGraphicFramePr>
              <a:graphicFrameLocks noChangeAspect="1"/>
            </wp:cNvGraphicFramePr>
            <a:graphic>
              <a:graphicData uri="http://schemas.openxmlformats.org/drawingml/2006/picture">
                <pic:pic>
                  <pic:nvPicPr>
                    <pic:cNvPr id="0" name="A 31635-2024 karta.png"/>
                    <pic:cNvPicPr/>
                  </pic:nvPicPr>
                  <pic:blipFill>
                    <a:blip r:embed="rId16"/>
                    <a:stretch>
                      <a:fillRect/>
                    </a:stretch>
                  </pic:blipFill>
                  <pic:spPr>
                    <a:xfrm>
                      <a:off x="0" y="0"/>
                      <a:ext cx="4821142"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7310756, E 799655 i SWEREF 99 TM.</w:t>
      </w:r>
    </w:p>
    <w:p>
      <w:r>
        <w:t>I och inom 2 meter från avverkningsanmälan finns fynd av 21 naturvårdsarter, varav 12 är rödlistade, 8 är fridlysta, 11 är typiska (T) och 4 är signalarter (S): garnlav (VU, T), knärot (VU, T, §8), blanksvart spiklav (NT), dropptaggsvamp (NT, T), gammelgransskål (NT, T), knottrig blåslav (NT, T), luddfingersvamp (NT), skarp dropptaggsvamp (NT), skrovellav (NT, T), tallriska (NT), talltita (NT, §4), vedflamlav (NT), bollvitmossa (S, T), källpraktmossa (S, T), spindelblomster (S, T, §8), strutbräken (S, T), spillkråka (T, §4), vanlig groda (§6), vanlig padda (§6),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46 fyndplatser för knärot registrerade på Artportalen. Figur 2 visar gränserna för buffertzoner på 50 m, som behöver lämnas kring fyndplatserna för att knärotslokalerna inte ska försvinna vid en avverkning. Av det avverkningsanmälda området överlappar 10.79 ha med buffertzonerna och får av detta skäl inte avverkas.</w:t>
      </w:r>
    </w:p>
    <w:p>
      <w:pPr>
        <w:pStyle w:val="Caption"/>
      </w:pPr>
      <w:r>
        <w:drawing>
          <wp:inline xmlns:a="http://schemas.openxmlformats.org/drawingml/2006/main" xmlns:pic="http://schemas.openxmlformats.org/drawingml/2006/picture">
            <wp:extent cx="5486400" cy="9435830"/>
            <wp:docPr id="2" name="Picture 2"/>
            <wp:cNvGraphicFramePr>
              <a:graphicFrameLocks noChangeAspect="1"/>
            </wp:cNvGraphicFramePr>
            <a:graphic>
              <a:graphicData uri="http://schemas.openxmlformats.org/drawingml/2006/picture">
                <pic:pic>
                  <pic:nvPicPr>
                    <pic:cNvPr id="0" name="A 31635-2024 karta knärot.png"/>
                    <pic:cNvPicPr/>
                  </pic:nvPicPr>
                  <pic:blipFill>
                    <a:blip r:embed="rId17"/>
                    <a:stretch>
                      <a:fillRect/>
                    </a:stretch>
                  </pic:blipFill>
                  <pic:spPr>
                    <a:xfrm>
                      <a:off x="0" y="0"/>
                      <a:ext cx="5486400" cy="94358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7310756, E 799655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