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33409-2026 i Bodens kommun</w:t>
      </w:r>
    </w:p>
    <w:p>
      <w:r>
        <w:t>Detta klagomål behandlar höga naturvärden i avverkningsanmälan A 33409-2026 i Bodens kommun som inkom 2026-08-13 och omfattar 22,8 ha.</w:t>
      </w:r>
    </w:p>
    <w:p>
      <w:pPr>
        <w:pStyle w:val="Caption"/>
      </w:pPr>
      <w:r>
        <w:drawing>
          <wp:inline xmlns:a="http://schemas.openxmlformats.org/drawingml/2006/main" xmlns:pic="http://schemas.openxmlformats.org/drawingml/2006/picture">
            <wp:extent cx="5486400" cy="4406686"/>
            <wp:docPr id="1" name="Picture 1"/>
            <wp:cNvGraphicFramePr>
              <a:graphicFrameLocks noChangeAspect="1"/>
            </wp:cNvGraphicFramePr>
            <a:graphic>
              <a:graphicData uri="http://schemas.openxmlformats.org/drawingml/2006/picture">
                <pic:pic>
                  <pic:nvPicPr>
                    <pic:cNvPr id="0" name="A 33409-2026 karta.png"/>
                    <pic:cNvPicPr/>
                  </pic:nvPicPr>
                  <pic:blipFill>
                    <a:blip r:embed="rId16"/>
                    <a:stretch>
                      <a:fillRect/>
                    </a:stretch>
                  </pic:blipFill>
                  <pic:spPr>
                    <a:xfrm>
                      <a:off x="0" y="0"/>
                      <a:ext cx="5486400" cy="4406686"/>
                    </a:xfrm>
                    <a:prstGeom prst="rect"/>
                  </pic:spPr>
                </pic:pic>
              </a:graphicData>
            </a:graphic>
          </wp:inline>
        </w:drawing>
      </w:r>
    </w:p>
    <w:p>
      <w:pPr>
        <w:pStyle w:val="Caption"/>
        <w:spacing w:after="240"/>
      </w:pPr>
      <w:r>
        <w:t>Figur 1. Fyndplatser för naturvårdsarter i och inom 18 meter från avverkningsanmälan. Markörer utan svart kant är placerade på fyndplatsen. Markörer med svart kant är placerade vid sidan av fyndplatsen och har ett svart streck som visar fyndplatsens exakta position. Kartans mittpunktskoordinat är N 7350054, E 784526 i SWEREF 99 TM.</w:t>
      </w:r>
    </w:p>
    <w:p>
      <w:r>
        <w:t>I och inom 18 meter från avverkningsanmälan finns fynd av 13 naturvårdsarter, varav 10 är rödlistade, 6 är fridlysta, 9 är typiska (T) och 1 är signalart (S): garnlav (VU, T), knärot (VU, T, §8), blå taggsvamp (NT, T), dropptaggsvamp (NT, T), orange taggsvamp (NT, T), skarp dropptaggsvamp (NT), tallriska (NT), tallticka (NT, T), talltita (NT, §4), tretåig hackspett (NT, T, §4), spindelblomster (S, T, §8), spillkråka (T, §4) och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28 fyndplatser för knärot registrerade på Artportalen. Figur 2 visar gränserna för buffertzoner på 50 m, som behöver lämnas kring fyndplatserna för att knärotslokalerna inte ska försvinna vid en avverkning. Av det avverkningsanmälda området överlappar 6.07 ha med buffertzonerna och får av detta skäl inte avverkas.</w:t>
      </w:r>
    </w:p>
    <w:p>
      <w:pPr>
        <w:pStyle w:val="Caption"/>
      </w:pPr>
      <w:r>
        <w:drawing>
          <wp:inline xmlns:a="http://schemas.openxmlformats.org/drawingml/2006/main" xmlns:pic="http://schemas.openxmlformats.org/drawingml/2006/picture">
            <wp:extent cx="5486400" cy="5574520"/>
            <wp:docPr id="2" name="Picture 2"/>
            <wp:cNvGraphicFramePr>
              <a:graphicFrameLocks noChangeAspect="1"/>
            </wp:cNvGraphicFramePr>
            <a:graphic>
              <a:graphicData uri="http://schemas.openxmlformats.org/drawingml/2006/picture">
                <pic:pic>
                  <pic:nvPicPr>
                    <pic:cNvPr id="0" name="A 33409-2026 karta knärot.png"/>
                    <pic:cNvPicPr/>
                  </pic:nvPicPr>
                  <pic:blipFill>
                    <a:blip r:embed="rId17"/>
                    <a:stretch>
                      <a:fillRect/>
                    </a:stretch>
                  </pic:blipFill>
                  <pic:spPr>
                    <a:xfrm>
                      <a:off x="0" y="0"/>
                      <a:ext cx="5486400" cy="5574520"/>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7350054, E 784526 i SWEREF 99 TM.</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Tallriska (NT)</w:t>
      </w:r>
      <w:r>
        <w:t xml:space="preserve"> bildar mykorrhiza med tall och växer i äldre, mager och torr tallskog med lång trädkontinuitet, såsom tallhedar och sandtallskogar. Arten hotas huvudsakligen av avverkning av äldre tallskogar och på kända lokaler bör slutavverkning, markberedning och gödsling undvikas (SLU Artdatabanken, 2024).</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13 naturvårdsarter varav 10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Kyrkan</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