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31197-2026 i Bodens kommun</w:t>
      </w:r>
    </w:p>
    <w:p>
      <w:r>
        <w:t>Detta klagomål behandlar höga naturvärden i avverkningsanmälan A 31197-2026 i Bodens kommun som inkom 2026-07-06 och omfattar 2,7 ha.</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A 31197-2026 karta.png"/>
                    <pic:cNvPicPr/>
                  </pic:nvPicPr>
                  <pic:blipFill>
                    <a:blip r:embed="rId16"/>
                    <a:stretch>
                      <a:fillRect/>
                    </a:stretch>
                  </pic:blipFill>
                  <pic:spPr>
                    <a:xfrm>
                      <a:off x="0" y="0"/>
                      <a:ext cx="5486400" cy="466825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7316746, E 804075 i SWEREF 99 TM.</w:t>
      </w:r>
    </w:p>
    <w:p>
      <w:r>
        <w:t>I och inom 11 meter från avverkningsanmälan finns fynd av 5 naturvårdsarter, varav 2 är rödlistade, 4 är fridlysta och 1 är typisk (T): tornseglare (VU, §4), älvstarr (NT, T), grönsiska (§4), svartvit flugsnappare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Älvstarr (NT) </w:t>
      </w:r>
      <w:r>
        <w:t xml:space="preserve">förekommer sällsynt från Västerbotten och norrut, dock ej i fjällen. Den växer på bäckstränder, källdråg och i gransumpskog och kräver rinnande vatten med god syresättning. Arten tål ej skogliga ingrepp, då den växer på mark som är mycket känslig. Källdråg, sumpskogar och bäckstränder bör undantas från avverkning. Körning med skogsmaskiner på dessa lokaler bör undvikas. Älvstarrförekomsterna bör karteras och rikliga förekomster skyddas. Älvstarr är typisk art för </w:t>
      </w:r>
      <w:r>
        <w:rPr>
          <w:i/>
        </w:rPr>
        <w:t>9750 Svämlövskog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