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36618-2023 i Bodens kommun</w:t>
      </w:r>
    </w:p>
    <w:p>
      <w:r>
        <w:t>Denna tillsynsbegäran behandlar höga naturvärden i avverkningsanmälan A 36618-2023 i Bodens kommun som inkom 2023-08-14 och omfattar 7,1 ha.</w:t>
      </w:r>
    </w:p>
    <w:p>
      <w:pPr>
        <w:pStyle w:val="Caption"/>
      </w:pPr>
      <w:r>
        <w:drawing>
          <wp:inline xmlns:a="http://schemas.openxmlformats.org/drawingml/2006/main" xmlns:pic="http://schemas.openxmlformats.org/drawingml/2006/picture">
            <wp:extent cx="4650012" cy="5724000"/>
            <wp:docPr id="1" name="Picture 1"/>
            <wp:cNvGraphicFramePr>
              <a:graphicFrameLocks noChangeAspect="1"/>
            </wp:cNvGraphicFramePr>
            <a:graphic>
              <a:graphicData uri="http://schemas.openxmlformats.org/drawingml/2006/picture">
                <pic:pic>
                  <pic:nvPicPr>
                    <pic:cNvPr id="0" name="A 36618-2023 karta.png"/>
                    <pic:cNvPicPr/>
                  </pic:nvPicPr>
                  <pic:blipFill>
                    <a:blip r:embed="rId16"/>
                    <a:stretch>
                      <a:fillRect/>
                    </a:stretch>
                  </pic:blipFill>
                  <pic:spPr>
                    <a:xfrm>
                      <a:off x="0" y="0"/>
                      <a:ext cx="4650012"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7336973, E 784094 i SWEREF 99 TM.</w:t>
      </w:r>
    </w:p>
    <w:p>
      <w:r>
        <w:t>I och inom 19 meter från avverkningsanmälan finns fynd av 19 naturvårdsarter, varav 16 är rödlistade, 1 är fridlyst, 14 är typiska (T) och 3 är signalarter (S): garnlav (VU, T), grenlav (VU), gräddporing (VU, T), knärot (VU, T, §8), liten aspgelélav (VU, T), blanksvart spiklav (NT), blå taggsvamp (NT, T), blågrå svartspik (NT), dropptaggsvamp (NT, T), dvärgbägarlav (NT, T), kolflarnlav (NT, T), lunglav (NT, T), mörk kolflarnlav (NT), nordtagging (NT), ullticka (NT, T), vedskivlav (NT, T), grönpyrola (S, T), luddlav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Grenlav (VU) </w:t>
      </w:r>
      <w:r>
        <w:t>förekommer i gamla boreala barrskogar med hög luftfuktighet, särskilt på stora myrar, i fjällnära skog, vid bäckar och i sumpskogar. Den är placerad högst upp i Skogsstyrelsens värdepyramid för bedömning av skog med höga naturvärden och kräver konstant hög luftfuktighet med lång kontinuitet av gamla träd och torrträd. Lokaler med arten bör undantas från skogliga skötselåtgärder och de rikaste lokalerna bör få ett permanent skydd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9508889"/>
            <wp:docPr id="2" name="Picture 2"/>
            <wp:cNvGraphicFramePr>
              <a:graphicFrameLocks noChangeAspect="1"/>
            </wp:cNvGraphicFramePr>
            <a:graphic>
              <a:graphicData uri="http://schemas.openxmlformats.org/drawingml/2006/picture">
                <pic:pic>
                  <pic:nvPicPr>
                    <pic:cNvPr id="0" name="A 36618-2023 karta knärot.png"/>
                    <pic:cNvPicPr/>
                  </pic:nvPicPr>
                  <pic:blipFill>
                    <a:blip r:embed="rId17"/>
                    <a:stretch>
                      <a:fillRect/>
                    </a:stretch>
                  </pic:blipFill>
                  <pic:spPr>
                    <a:xfrm>
                      <a:off x="0" y="0"/>
                      <a:ext cx="5486400" cy="950888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7336973, E 784094 i SWEREF 99 TM.</w:t>
      </w:r>
    </w:p>
    <w:p>
      <w:r>
        <w:rPr>
          <w:b/>
        </w:rPr>
        <w:t>Liten aspgelélav (VU)</w:t>
      </w:r>
      <w:r>
        <w:t xml:space="preserve">,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Liten aspgelélav är typisk art för </w:t>
      </w:r>
      <w:r>
        <w:rPr>
          <w:i/>
        </w:rPr>
        <w:t>9010 Taiga</w:t>
      </w:r>
      <w:r>
        <w:t xml:space="preserve"> (Naturvårdsverket, 2010;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knärot (VU, T, §8), liten aspgelélav (VU, T), blå taggsvamp (NT, T), dropptaggsvamp (NT, T), dvärgbägarlav (NT, T), kolflarnlav (NT, T), lunglav (NT, T), ullticka (NT, T), vedskivlav (NT, T), grönpyrola (S, T), luddlav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