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2429-2023 i Haparanda kommun</w:t>
      </w:r>
    </w:p>
    <w:p>
      <w:r>
        <w:t>Denna tillsynsbegäran behandlar höga naturvärden i samrådsanmälan S 2429-2023 i Haparanda kommun som inkom 2023-07-06 och omfattar 92,5 ha.</w:t>
      </w:r>
    </w:p>
    <w:p>
      <w:pPr>
        <w:pStyle w:val="Caption"/>
      </w:pPr>
      <w:r>
        <w:drawing>
          <wp:inline xmlns:a="http://schemas.openxmlformats.org/drawingml/2006/main" xmlns:pic="http://schemas.openxmlformats.org/drawingml/2006/picture">
            <wp:extent cx="5486400" cy="2973214"/>
            <wp:docPr id="1" name="Picture 1"/>
            <wp:cNvGraphicFramePr>
              <a:graphicFrameLocks noChangeAspect="1"/>
            </wp:cNvGraphicFramePr>
            <a:graphic>
              <a:graphicData uri="http://schemas.openxmlformats.org/drawingml/2006/picture">
                <pic:pic>
                  <pic:nvPicPr>
                    <pic:cNvPr id="0" name="S 2429-2023 karta.png"/>
                    <pic:cNvPicPr/>
                  </pic:nvPicPr>
                  <pic:blipFill>
                    <a:blip r:embed="rId16"/>
                    <a:stretch>
                      <a:fillRect/>
                    </a:stretch>
                  </pic:blipFill>
                  <pic:spPr>
                    <a:xfrm>
                      <a:off x="0" y="0"/>
                      <a:ext cx="5486400" cy="2973214"/>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7310952, E 843517 i SWEREF 99 TM.</w:t>
      </w:r>
    </w:p>
    <w:p>
      <w:r>
        <w:t>I och inom 18 meter från samrådsanmälan finns fynd av 3 naturvårdsarter, varav 3 är rödlistade och 2 är fridlysta: rotfingersvamp (VU), tornseglare (VU, §4) och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