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10563-2022 i Kiruna kommun</w:t>
      </w:r>
    </w:p>
    <w:p>
      <w:r>
        <w:t>Detta klagomål behandlar höga naturvärden i avverkningsanmälan A 10563-2022 i Kiruna kommun som inkom 2022-03-04 och omfattar 170,5 ha.</w:t>
      </w:r>
    </w:p>
    <w:p>
      <w:pPr>
        <w:pStyle w:val="Caption"/>
      </w:pPr>
      <w:r>
        <w:drawing>
          <wp:inline xmlns:a="http://schemas.openxmlformats.org/drawingml/2006/main" xmlns:pic="http://schemas.openxmlformats.org/drawingml/2006/picture">
            <wp:extent cx="5486400" cy="4918252"/>
            <wp:docPr id="1" name="Picture 1"/>
            <wp:cNvGraphicFramePr>
              <a:graphicFrameLocks noChangeAspect="1"/>
            </wp:cNvGraphicFramePr>
            <a:graphic>
              <a:graphicData uri="http://schemas.openxmlformats.org/drawingml/2006/picture">
                <pic:pic>
                  <pic:nvPicPr>
                    <pic:cNvPr id="0" name="A 10563-2022 karta.png"/>
                    <pic:cNvPicPr/>
                  </pic:nvPicPr>
                  <pic:blipFill>
                    <a:blip r:embed="rId16"/>
                    <a:stretch>
                      <a:fillRect/>
                    </a:stretch>
                  </pic:blipFill>
                  <pic:spPr>
                    <a:xfrm>
                      <a:off x="0" y="0"/>
                      <a:ext cx="5486400" cy="49182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7544376, E 723340 i SWEREF 99 TM.</w:t>
      </w:r>
    </w:p>
    <w:p>
      <w:r>
        <w:t>I och inom 25 meter från avverkningsanmälan finns fynd av 69 naturvårdsarter, varav 40 är rödlistade, 19 är fridlysta, 41 är typiska (T) och 20 är signalarter (S): grynlav (EN), fläckporing (VU, T), gränsticka (VU, T), grönfink (VU, §4), knärot (VU, T, §8), kristallticka (VU), lateritticka (VU), liten sotlav (VU, T), mörk blåslav (VU, T), nordlig parasitporing (VU), blanksvart spiklav (NT), blå taggsvamp (NT, T), brunpudrad nållav (NT, T), dropptaggsvamp (NT, T), dvärgbägarlav (NT, T), Ernobius explanatus (NT), gröntagging (NT), harticka (NT, T), hornvaxskinn (NT), järnsparv (NT, §4), knottrig blåslav (NT, T), kötticka (NT), ladlav (NT, T), lappmes (NT, T, §4), lavskrika (NT, T, §4), lunglav (NT, T), rosenticka (NT, T), rynkskinn (NT, T), rödbrun blekspik (NT, T), rödvingetrast (NT, §4), skogsfru (NT, §8), skrovellav (NT, T), skuggblåslav (NT, T), tallticka (NT, T), talltita (NT, §4), ullticka (NT, T), vedskivlav (NT, T), vitplätt (NT), äggvaxskivling (NT), späd brosklav (DD, T), blodticka (S, T), bårdlav (S, T), diskvaxskivling (S), finbräken (S, T), gräsull (S), grönkulla (S, T, §8), källmossa (S), källmossor (S), kärrtrumpetmossa (S), luddlav (S, T), plattlummer (S, T, §9), skinnlav (S, T), spindelblomster (S, T, §8), stuplav (S, T), svavelriska (S), trådticka (S, T), vedticka (S, T), vitvaxing agg. (S), ängsfingersvamp (S), ögonpyrola (S, T), bergfink (T, §4), järpe (T, §4), ormbär (T), spillkråka (T, §4), tjäder (T, §4), grönsiska (§4), kungsfågel (§4), brudsporre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Grynlav (EN)</w:t>
      </w:r>
      <w:r>
        <w:t xml:space="preserve"> är en starkt hotad lav som växer på gamla lövträd, främst asp, ek och hamlad ask, samt på klippor i områden med hög och jämn luftfuktighet. Arten är placerad högst upp i Skogsstyrelsens värdepyramid för bedömning av skog med höga naturvärden och har svårt att överleva en slutavverkning även om värdträden sparas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35 fyndplatser för knärot registrerade på Artportalen. Figur 2 visar gränserna för buffertzoner på 50 m, som behöver lämnas kring fyndplatserna för att knärotslokalerna inte ska försvinna vid en avverkning. Av det avverkningsanmälda området överlappar 11.66 ha med buffertzonerna och får av detta skäl inte avverkas.</w:t>
      </w:r>
    </w:p>
    <w:p>
      <w:pPr>
        <w:pStyle w:val="Caption"/>
      </w:pPr>
      <w:r>
        <w:drawing>
          <wp:inline xmlns:a="http://schemas.openxmlformats.org/drawingml/2006/main" xmlns:pic="http://schemas.openxmlformats.org/drawingml/2006/picture">
            <wp:extent cx="5486400" cy="7895858"/>
            <wp:docPr id="2" name="Picture 2"/>
            <wp:cNvGraphicFramePr>
              <a:graphicFrameLocks noChangeAspect="1"/>
            </wp:cNvGraphicFramePr>
            <a:graphic>
              <a:graphicData uri="http://schemas.openxmlformats.org/drawingml/2006/picture">
                <pic:pic>
                  <pic:nvPicPr>
                    <pic:cNvPr id="0" name="A 10563-2022 karta knärot.png"/>
                    <pic:cNvPicPr/>
                  </pic:nvPicPr>
                  <pic:blipFill>
                    <a:blip r:embed="rId17"/>
                    <a:stretch>
                      <a:fillRect/>
                    </a:stretch>
                  </pic:blipFill>
                  <pic:spPr>
                    <a:xfrm>
                      <a:off x="0" y="0"/>
                      <a:ext cx="5486400" cy="78958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7544376, E 723340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Nordlig parasitporing (VU)</w:t>
      </w:r>
      <w:r>
        <w:t xml:space="preserve"> växer på döda, liggande, grova stammar av framförallt gran, någon gång tall och påträffas i mager granskog, ofta naturskogsartad eller i fjällnära skog. Artens substrat, lågor förrötade av violticke-arter (</w:t>
      </w:r>
      <w:r>
        <w:rPr>
          <w:i/>
        </w:rPr>
        <w:t>Trichaptum spp</w:t>
      </w:r>
      <w:r>
        <w:t>) bedöms inte vara på tillbakagång, däremot minskar arealen kontinuitetsskogar i norr vilket utgör artens huvudsakliga livsmiljöer. Lokaler med arten måste skyddas från kalavverkning och skogliga åtgärder (SLU Artdatabanken, 2025).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Gröntagging (NT) </w:t>
      </w:r>
      <w:r>
        <w:t>förekommer i äldre grandominerad blandskog men ekologin är fortfarande något oklar. Dock verkar arten fodra växtplatser med hög luftfuktighet och mycket död ved och kontinuitet i träd- och buskskikt, miljöer som minskar i landskapet. Arten är sällsynt och kan missgynnas av att ett alltför ensidigt skogsbruk gynnar barrträd och att därför näringsrika blandskogar försvinner. Några av artens växtplatser bör skyddas och inventeras för att klarlägga artens ekologi och de lokala populationernas storlek och dynamik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Späd brosklav (DD) </w:t>
      </w:r>
      <w:r>
        <w:t xml:space="preserve">förekommer främst i boreala granskogar med lång trädkontinuitet men kan också förekomma på lövträd vid sänkta sjöar, vid vägkanter med kalkdamm i Jämtland samt på sälg och asp i sydbranter. Arten har minskat genom avverkningar av boreal kontinuitetsskog men faktaunderlaget bedöms vara otillräckligt för att avgöra vilken av de olika rödlistningskategorierna som är mest trolig. Späd brosklav är en bra signalart för skogar med höga naturvärden. Särskilt användbar är den i älvnära granskogar där arten indikerar konstant hög luftfuktighet och låg grad av mänsklig påverkan. Späd brosklav är typisk art för </w:t>
      </w:r>
      <w:r>
        <w:rPr>
          <w:i/>
        </w:rPr>
        <w:t>9010 Taiga</w:t>
      </w:r>
      <w:r>
        <w:t xml:space="preserve"> (SLU Artdatabanken, 2026;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60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69 naturvårdsarter varav 40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