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30548-2026 i Kiruna kommun</w:t>
      </w:r>
    </w:p>
    <w:p>
      <w:r>
        <w:t>Detta klagomål behandlar höga naturvärden i avverkningsanmälan A 30548-2026 i Kiruna kommun som inkom 2026-07-07 och omfattar 25,2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30548-2026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7519741, E 751991 i SWEREF 99 TM.</w:t>
      </w:r>
    </w:p>
    <w:p>
      <w:r>
        <w:t>I och inom 16 meter från avverkningsanmälan finns fynd av 24 naturvårdsarter, varav 17 är rödlistade, 5 är fridlysta, 14 är typiska (T) och 4 är signalarter (S): grantickeporing (VU), blanksvart spiklav (NT), blågrå svartspik (NT), gammelgransskål (NT, T), hornvaxskinn (NT), knottrig blåslav (NT, T), kolflarnlav (NT, T), lavskrika (NT, T, §4), luddfingersvamp (NT), rödbrun blekspik (NT, T), talltagel (NT, T), tretåig hackspett (NT, T, §4), vaxspindling (NT), vedskivlav (NT, T), vitgrynig nållav (NT), vitplätt (NT), äggvaxskivling (NT), luddlav (S, T), plattlummer (S, T, §9), skinnlav (S, T), ögonpyrola (S, T), mattlummer (T, §9), timmerticka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