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29171-2026 i Kiruna kommun</w:t>
      </w:r>
    </w:p>
    <w:p>
      <w:r>
        <w:t>Detta klagomål behandlar höga naturvärden i avverkningsanmälan A 29171-2026 i Kiruna kommun som inkom 2026-06-29 och omfattar 4,9 ha.</w:t>
      </w:r>
    </w:p>
    <w:p>
      <w:pPr>
        <w:pStyle w:val="Caption"/>
      </w:pPr>
      <w:r>
        <w:drawing>
          <wp:inline xmlns:a="http://schemas.openxmlformats.org/drawingml/2006/main" xmlns:pic="http://schemas.openxmlformats.org/drawingml/2006/picture">
            <wp:extent cx="5486400" cy="2988297"/>
            <wp:docPr id="1" name="Picture 1"/>
            <wp:cNvGraphicFramePr>
              <a:graphicFrameLocks noChangeAspect="1"/>
            </wp:cNvGraphicFramePr>
            <a:graphic>
              <a:graphicData uri="http://schemas.openxmlformats.org/drawingml/2006/picture">
                <pic:pic>
                  <pic:nvPicPr>
                    <pic:cNvPr id="0" name="A 29171-2026 karta.png"/>
                    <pic:cNvPicPr/>
                  </pic:nvPicPr>
                  <pic:blipFill>
                    <a:blip r:embed="rId16"/>
                    <a:stretch>
                      <a:fillRect/>
                    </a:stretch>
                  </pic:blipFill>
                  <pic:spPr>
                    <a:xfrm>
                      <a:off x="0" y="0"/>
                      <a:ext cx="5486400" cy="298829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7518437, E 751421 i SWEREF 99 TM.</w:t>
      </w:r>
    </w:p>
    <w:p>
      <w:r>
        <w:t>I och inom 12 meter från avverkningsanmälan finns fynd av 7 naturvårdsarter, varav 5 är rödlistade och 6 är typiska (T): garnlav (VU, T), knottrig blåslav (NT, T), talltagel (NT, T), tallticka (NT, T), vitplätt (NT), hultbräken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Hultbräken </w:t>
      </w:r>
      <w:r>
        <w:t xml:space="preserve">är typisk art för </w:t>
      </w:r>
      <w:r>
        <w:rPr>
          <w:i/>
        </w:rPr>
        <w:t xml:space="preserve">9050 Näringsrik granskog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