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61178-2025 i Kiruna kommun</w:t>
      </w:r>
    </w:p>
    <w:p>
      <w:r>
        <w:t>Denna tillsynsbegäran behandlar höga naturvärden i avverkningsanmälan A 61178-2025 i Kiruna kommun som inkom 2025-12-09 och omfattar 31,3 ha.</w:t>
      </w:r>
    </w:p>
    <w:p>
      <w:pPr>
        <w:pStyle w:val="Caption"/>
      </w:pPr>
      <w:r>
        <w:drawing>
          <wp:inline xmlns:a="http://schemas.openxmlformats.org/drawingml/2006/main" xmlns:pic="http://schemas.openxmlformats.org/drawingml/2006/picture">
            <wp:extent cx="4288082" cy="5724000"/>
            <wp:docPr id="1" name="Picture 1"/>
            <wp:cNvGraphicFramePr>
              <a:graphicFrameLocks noChangeAspect="1"/>
            </wp:cNvGraphicFramePr>
            <a:graphic>
              <a:graphicData uri="http://schemas.openxmlformats.org/drawingml/2006/picture">
                <pic:pic>
                  <pic:nvPicPr>
                    <pic:cNvPr id="0" name="A 61178-2025 karta.png"/>
                    <pic:cNvPicPr/>
                  </pic:nvPicPr>
                  <pic:blipFill>
                    <a:blip r:embed="rId16"/>
                    <a:stretch>
                      <a:fillRect/>
                    </a:stretch>
                  </pic:blipFill>
                  <pic:spPr>
                    <a:xfrm>
                      <a:off x="0" y="0"/>
                      <a:ext cx="42880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7525425, E 768716 i SWEREF 99 TM.</w:t>
      </w:r>
    </w:p>
    <w:p>
      <w:r>
        <w:t>I avverkningsanmälan finns fynd av 9 naturvårdsarter, varav 8 är rödlistade, 1 är fridlyst, 6 är typiska (T) och 1 är signalart (S): skrovlig taggsvamp (VU), blanksvart spiklav (NT), blå taggsvamp (NT, T), dvärgbägarlav (NT, T), gammelgransskål (NT, T), orange taggsvamp (NT, T), vedskivlav (NT, T), vitplätt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dvärgbägarlav (NT, T), gammelgransskål (NT, T), orange taggsvamp (NT, T), vedskivlav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