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29048-2026 i Kiruna kommun</w:t>
      </w:r>
    </w:p>
    <w:p>
      <w:r>
        <w:t>Denna tillsynsbegäran behandlar höga naturvärden i avverkningsanmälan A 29048-2026 i Kiruna kommun som inkom 2026-06-26 och omfattar 16,9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04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7513309, E 758922 i SWEREF 99 TM.</w:t>
      </w:r>
    </w:p>
    <w:p>
      <w:r>
        <w:t>I avverkningsanmälan finns fynd av 10 naturvårdsarter, varav 10 är rödlistade, 2 är fridlysta och 7 är typiska (T): gammelgransskål (NT, T), knottrig blåslav (NT, T), lappmes (NT, T, §4), lavskrika (NT, T, §4), reliktbock (NT, T), sotvaxskivling (NT), talltagel (NT, T), vedskivlav (NT, T), vitgrynig nållav (NT) och nordtätskinn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Nordtätskinn (DD)</w:t>
      </w:r>
      <w:r>
        <w:t xml:space="preserve"> är en nedbrytare som växer på undersidan av grova, liggande stammar av gran i urskogsartad blåbärsgranskog, delvis även i fjällgranskog. Tillgången på mossrika granurskogar norr om polcirkeln är avgörande för artens överlevnad i vårt land.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lappmes (NT, T, §4), lavskrika (NT, T, §4), reliktbock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