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32844-2026 i Kiruna kommun</w:t>
      </w:r>
    </w:p>
    <w:p>
      <w:r>
        <w:t>Denna tillsynsbegäran behandlar höga naturvärden i avverkningsanmälan A 32844-2026 i Kiruna kommun som inkom 2026-08-10 och omfattar 19,7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2844-2026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7519580, E 752412 i SWEREF 99 TM.</w:t>
      </w:r>
    </w:p>
    <w:p>
      <w:r>
        <w:t>I och inom 23 meter från avverkningsanmälan finns fynd av 14 naturvårdsarter, varav 10 är rödlistade, 4 är fridlysta, 12 är typiska (T) och 3 är signalarter (S): gammelgransskål (NT, T), hornvaxskinn (NT), knottrig blåslav (NT, T), lappmes (NT, T, §4), lavskrika (NT, T, §4), talltagel (NT, T), tretåig hackspett (NT, T, §4), vedskivlav (NT, T), violmussling (NT, T), vitplätt (NT), plattlummer (S, T, §9), skinnlav (S, T), stuplav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lappmes (NT, T, §4), lavskrika (NT, T, §4), talltagel (NT, T), tretåig hackspett (NT, T, §4), vedskivlav (NT, T), violmussling (NT, T), plattlummer (S, T, §9), skinnlav (S, T), stuplav (S,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