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30524-2026 i Kiruna kommun</w:t>
      </w:r>
    </w:p>
    <w:p>
      <w:r>
        <w:t>Denna tillsynsbegäran behandlar höga naturvärden i avverkningsanmälan A 30524-2026 i Kiruna kommun som inkom 2026-07-07 och omfattar 21,7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30524-2026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7520286, E 750903 i SWEREF 99 TM.</w:t>
      </w:r>
    </w:p>
    <w:p>
      <w:r>
        <w:t>I och inom 19 meter från avverkningsanmälan finns fynd av 20 naturvårdsarter, varav 16 är rödlistade, 1 är fridlyst, 10 är typiska (T) och 3 är signalarter (S): mörk blåslav (VU, T), blanksvart spiklav (NT), blågrå svartspik (NT), dropptaggsvamp (NT, T), gammelgransskål (NT, T), grantaggsvamp (NT), hornvaxskinn (NT), knottrig blåslav (NT, T), kolflarnlav (NT, T), ladlav (NT, T), mörk kolflarnlav (NT), talltagel (NT, T), ullticka (NT, T), vedflamlav (NT), vedskivlav (NT, T), äggvaxskivling (NT), gullgröppa (S), vedticka (S, T), vågbandad barkbock (S)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blåslav (VU)</w:t>
      </w:r>
      <w:r>
        <w:t xml:space="preserve"> förekommer i huvudsak i fjällnära skog i det översta barrskogsbältet och i fjällbjörkskog. Den växer på träd, främst gran, tall och björk, men ibland också på klippor och i så fall ofta på kalkrik berggrund. Flera av förekomsterna är belägna vid vattenfall eller forsar vilket indikerar att den kräver hög luftfuktighet. Avverkning av gammal fjällnära skog är det största hotet. Samtliga lokaler bör skyddas. Mörk blåslav är typisk art för </w:t>
      </w:r>
      <w:r>
        <w:rPr>
          <w:i/>
        </w:rPr>
        <w:t xml:space="preserve">9010 Taiga </w:t>
      </w:r>
      <w:r>
        <w:t>(SLU Artdatabanken, 2025).</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mörk blåslav (VU, T), dropptaggsvamp (NT, T), gammelgransskål (NT, T), knottrig blåslav (NT, T), kolflarnlav (NT, T), ladlav (NT, T), talltagel (NT, T), ullticka (NT, T), vedskivlav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