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42495-2024 i Kiruna kommun</w:t>
      </w:r>
    </w:p>
    <w:p>
      <w:r>
        <w:t>Detta dokument behandlar höga naturvärden i avverkningsanmälan A 42495-2024 i Kiruna kommun. Denna avverkningsanmälan inkom 2024-09-30 00:00:00 och omfattar 14,8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19 naturvårdsarter hittats: grantickeporing (VU), ostticka (VU), tallbit (VU, §4), garnlav (NT), granticka (NT), harticka (NT), järpe (NT, §4), knottrig blåslav (NT), liten svartspik (NT), rosenticka (NT), stjärntagging (NT), talltita (NT, §4), tretåig hackspett (NT, §4), ullticka (NT), blodticka (S), plattlummer (S, §9), vedticka (S), kungsfågel (§4) och lavskrika (§4).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60479"/>
            <wp:docPr id="1" name="Picture 1"/>
            <wp:cNvGraphicFramePr>
              <a:graphicFrameLocks noChangeAspect="1"/>
            </wp:cNvGraphicFramePr>
            <a:graphic>
              <a:graphicData uri="http://schemas.openxmlformats.org/drawingml/2006/picture">
                <pic:pic>
                  <pic:nvPicPr>
                    <pic:cNvPr id="0" name="A 42495-2024 karta.png"/>
                    <pic:cNvPicPr/>
                  </pic:nvPicPr>
                  <pic:blipFill>
                    <a:blip r:embed="rId16"/>
                    <a:stretch>
                      <a:fillRect/>
                    </a:stretch>
                  </pic:blipFill>
                  <pic:spPr>
                    <a:xfrm>
                      <a:off x="0" y="0"/>
                      <a:ext cx="5486400" cy="7460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7497000, E 801078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Grantickeporing (VU)</w:t>
      </w:r>
      <w:r>
        <w:t xml:space="preserve"> växer på murken ved och döda fruktkroppar av granticka (NT) och gränsticka (NT). Den förekommer i naturskogsliknade granskogar, gärna i fuktiga miljöer vid källbäckar och liknande. Avverkning av naturskogslika miljöer och av grova granar där grantickeporing förekommer är ett direkt hot mot artens fortlevnad. Gamla granskogar som hyser arten undantas helt från skogsbruk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tallbit (VU, §4), järpe (NT, §4), talltita (NT, §4), tretåig hackspett (NT, §4), plattlummer (S, §9), kungsfågel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Tallbit (VU, §4)</w:t>
      </w:r>
      <w:r>
        <w:t>, rödlistad som sårbar och prioriterad art i Skogsvårdslagen, har minskat med 25–75 % de senaste 30 åren. Tallbit ställer höga krav på sin livsmiljö och permanent förekomst av häckande tallbit finns huvudsakligen i gammal grandominerad barrblandskog av naturskogskaraktär. Reviren är relativt stora (12–75 hektar) och arten saknas i områden med storskaligt skogsbruk med hög andel stora hyggen och täta ungskogar. Områden med dokumenterad permanent förekomst har vanligtvis så stora naturvärden att skogsbruk är olämpligt (SLU Artdatabanken, 2024; Skogsstyrelsen, 2016). Observationer av tallbit i naturskog eller under häckningstid måste alltid utredas.</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19 naturvårdsarter varav 14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Tallbit – ekologi samt krav på livsmiljön</w:t>
      </w:r>
    </w:p>
    <w:p>
      <w:r>
        <w:t>Tallbit (VU, §4) är rödlistad som sårbar och prioriterad art enligt Skogsvårdslagen. Arten har minskat med 25–75 % de senaste 30 åren och minskningstakten överstiger gränsvärdet för Sårbar (VU) enligt A-kriteriet. (A4bc). Den förekommer från norra Dalarna och norrut genom de inre delarna av Norrland, norrut till norra Norrbotten. Området med regelbunden förekomst har kraftigt reducerats och 90 % av populationen förekommer numera i Norrbottens län (SLU Artdatabanken, 2024).</w:t>
      </w:r>
    </w:p>
    <w:p>
      <w:r>
        <w:t>Tallbit ställer höga krav på sin livsmiljö och permanent förekomst av häckande tallbit finns huvudsakligen i gammal grandominerad barrblandskog av naturskogskaraktär med inslag av björk, gråal, rönn och viden, påfallande ofta i områden med inslag av myrmark och små vattendrag. Reviren är relativt stora (12–75 hektar enligt befintliga studier) och arten saknas i områden med storskaligt skogsbruk med hög andel stora hyggen och täta ungskogar. Områden med dokumenterad permanent förekomst har ofta så stora naturvärden att skogsbruk är olämpligt (SLU Artdatabanken, 2024; Skogsstyrelsen, 2016).</w:t>
      </w:r>
    </w:p>
    <w:p>
      <w:r>
        <w:t>Arealerna grandominerad naturskog har i stora delar av landet blivit allt för små, och bestånden är dessutom i många fall allt för isolerade, för att kunna upprätthålla stabila populationer. Omdaningen av naturskogsartad skog till produktionsskog medför en förlust av viktiga häckningsmiljöer, något som förstärks av ökad fragmentering av kvarvarande naturskogsartade bestånd. Områden med dokumenterad permanent förekomst i naturskogsmiljöer kan ha så stora naturvärden att de bör bli föremål för områdesskydd eller naturvårdsavsättningar (Skogsstyrelsen, 2016).</w:t>
      </w:r>
    </w:p>
    <w:p>
      <w:r>
        <w:t>Tallbiten flyttar normalt endast begränsade sträckor inom norra barrskogsregionen och de flesta vintrar ses den endast i mycket liten omfattning utanför häckningsområdet. Med långa och oregelbundna mellanrum uppträder tallbiten invasionsaktigt och i samband med sådana rörelser kan den observeras i stora delar av Sverige (SLU Artdatabanken, 2024).</w:t>
      </w:r>
    </w:p>
    <w:p>
      <w:pPr>
        <w:pStyle w:val="Heading2"/>
      </w:pPr>
      <w:r>
        <w:t>Referenser – tallbit</w:t>
      </w:r>
    </w:p>
    <w:p>
      <w:r>
        <w:t xml:space="preserve">Skogsstyrelsen, 2016. </w:t>
      </w:r>
      <w:r>
        <w:rPr>
          <w:i/>
        </w:rPr>
        <w:t xml:space="preserve">Vägledning för hänsyn till tallbit. </w:t>
      </w:r>
      <w:r>
        <w:t>Vägledningar och kunskapsstöd artskydd - Skogsstyrelsen</w:t>
      </w:r>
    </w:p>
    <w:p>
      <w:r>
        <w:t>SLU Artdatabanken, 2024.</w:t>
      </w:r>
      <w:r>
        <w:rPr>
          <w:i/>
        </w:rPr>
        <w:t xml:space="preserve"> Artfakta: tallbit (Pinicola enucleator). </w:t>
      </w:r>
      <w:r>
        <w:t>https://artfakta.se/taxa/102125</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