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30524-2026 i Kiruna kommun</w:t>
      </w:r>
    </w:p>
    <w:p>
      <w:r>
        <w:t>Detta klagomål behandlar höga naturvärden i avverkningsanmälan A 30524-2026 i Kiruna kommun som inkom 2026-07-07 och omfattar 21,7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524-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7520286, E 750903 i SWEREF 99 TM.</w:t>
      </w:r>
    </w:p>
    <w:p>
      <w:r>
        <w:t>I och inom 19 meter från avverkningsanmälan finns fynd av 20 naturvårdsarter, varav 16 är rödlistade, 1 är fridlyst, 10 är typiska (T) och 3 är signalarter (S): mörk blåslav (VU, T), blanksvart spiklav (NT), blågrå svartspik (NT), dropptaggsvamp (NT, T), gammelgransskål (NT, T), grantaggsvamp (NT), hornvaxskinn (NT), knottrig blåslav (NT, T), kolflarnlav (NT, T), ladlav (NT, T), mörk kolflarnlav (NT), talltagel (NT, T), ullticka (NT, T), vedflamlav (NT), vedskivlav (NT, T), äggvaxskivling (NT), gullgröppa (S), vedticka (S, T), vågbandad barkbock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