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17705-2023 i Kiruna kommun</w:t>
      </w:r>
    </w:p>
    <w:p>
      <w:r>
        <w:t>Denna tillsynsbegäran behandlar höga naturvärden i avverkningsanmälan A 17705-2023 i Kiruna kommun som inkom 2023-04-19 och omfattar 58,9 ha.</w:t>
      </w:r>
    </w:p>
    <w:p>
      <w:pPr>
        <w:pStyle w:val="Caption"/>
      </w:pPr>
      <w:r>
        <w:drawing>
          <wp:inline xmlns:a="http://schemas.openxmlformats.org/drawingml/2006/main" xmlns:pic="http://schemas.openxmlformats.org/drawingml/2006/picture">
            <wp:extent cx="5486400" cy="3968685"/>
            <wp:docPr id="1" name="Picture 1"/>
            <wp:cNvGraphicFramePr>
              <a:graphicFrameLocks noChangeAspect="1"/>
            </wp:cNvGraphicFramePr>
            <a:graphic>
              <a:graphicData uri="http://schemas.openxmlformats.org/drawingml/2006/picture">
                <pic:pic>
                  <pic:nvPicPr>
                    <pic:cNvPr id="0" name="A 17705-2023 karta.png"/>
                    <pic:cNvPicPr/>
                  </pic:nvPicPr>
                  <pic:blipFill>
                    <a:blip r:embed="rId16"/>
                    <a:stretch>
                      <a:fillRect/>
                    </a:stretch>
                  </pic:blipFill>
                  <pic:spPr>
                    <a:xfrm>
                      <a:off x="0" y="0"/>
                      <a:ext cx="5486400" cy="396868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7527594, E 757661 i SWEREF 99 TM.</w:t>
      </w:r>
    </w:p>
    <w:p>
      <w:r>
        <w:t>I och inom 24 meter från avverkningsanmälan finns fynd av 10 naturvårdsarter, varav 8 är rödlistade, 3 är fridlysta och 7 är typiska (T): fläckporing (VU, T), gräddporing (VU, T), blå taggsvamp (NT, T), dropptaggsvamp (NT, T), lavskrika (NT, T, §4), orange taggsvamp (NT, T), svartvit taggsvamp (NT), äggvaxskivling (NT), tjäder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blå taggsvamp (NT, T), dropptaggsvamp (NT, T), lavskrika (NT, T, §4), orange taggsvamp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