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5842-2023 i Kiruna kommun</w:t>
      </w:r>
    </w:p>
    <w:p>
      <w:r>
        <w:t>Denna tillsynsbegäran behandlar höga naturvärden i avverkningsanmälan A 5842-2023 i Kiruna kommun som inkom 2023-02-01 och omfattar 2,9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5842-2023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7524713, E 720380 i SWEREF 99 TM.</w:t>
      </w:r>
    </w:p>
    <w:p>
      <w:r>
        <w:t>Inom 6 meter från avverkningsanmälan finns fynd av 1 naturvårdsarter, varav 1 är rödlistad: fjällsotlav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Fjällsotlav (VU)</w:t>
      </w:r>
      <w:r>
        <w:t xml:space="preserve"> växer på tall, särskilt på barklösa döda grenar i nedre delen av kronorna. Den har även undantagsvis påträffats på gammal ved av björk. Den förekommer i öppna tallbestånd i längs myrkanter eller i bestånd av långsamvuxen tallskog strax under eller nära trädgränsen på 500–900 m höjd. Arten förekommer endast i gamla skogar. Alla skogsskötselåtgärder, t.ex. slutavverkning av tallskog med låg produktion, som leder till att likåldriga tallbestånd bildas, utgör ett hot. Samtliga lokaler måste skyddas och det måste skrivas in i skötselföreskrifterna att brytning av döda grenar inte är tillåten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