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bläsand (VU, §4), brushane (VU, §4), gråtrut (VU, §4), kricka (VU, §4), norna (VU, §7), stjärtand (VU, §4), tallbit (VU, §4), tofsvipa (VU, §4), drillsnäppa (NT, §4), fiskmås (NT, §4), havsörn (NT, §4), kalkkärrsgrynsnäcka (NT), skrattmås (NT, §4), smålom (NT, §4), stenfalk (NT, §4), svartvit flugsnappare (NT, §4), talltita (NT, §4), utter (NT, §4a), gråkråka (§4), sångsvan (§4) och revlummer (§9). Av dessa är 19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skrattmås (NT, §4), smålom (NT, §4), stenfalk (NT, §4), svartvit flugsnappare (NT, §4), talltita (NT, §4), utter (NT, §4a), gråkråka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 Vägledningar och kunskapsstöd artskydd - Skogsstyrelsen</w:t>
      </w:r>
    </w:p>
    <w:p>
      <w:r>
        <w:t>SLU Artdatabanken, 2024.</w:t>
      </w:r>
      <w:r>
        <w:rPr>
          <w:i/>
        </w:rPr>
        <w:t xml:space="preserve"> Artfakta: tallbit (Pinicola enucleator). 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