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24 naturvårdsarter, varav 17 är rödlistade, 5 är fridlysta, 14 är typiska (T) och 4 är signalarter (S): grantickeporing (VU), blanksvart spiklav (NT), blågrå svartspik (NT), gammelgransskål (NT, T), hornvaxskinn (NT), knottrig blåslav (NT, T), kolflarnlav (NT, T), lavskrika (NT, T, §4), luddfingersvamp (NT), rödbrun blekspik (NT, T), talltagel (NT, T), tretåig hackspett (NT, T, §4), vaxspindling (NT), vedskivlav (NT, T), vitgrynig nållav (NT), vitplätt (NT), äggvaxskivling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