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29048-2026 i Kiruna kommun</w:t>
      </w:r>
    </w:p>
    <w:p>
      <w:r>
        <w:t>Detta klagomål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10 naturvårdsarter, varav 10 är rödlistade, 2 är fridlysta och 7 är typiska (T): gammelgransskål (NT, T), knottrig blåslav (NT, T), lappmes (NT, T, §4), lavskrika (NT, T, §4), reliktbock (NT, T), sotvaxskivling (NT), talltagel (NT, T), vedskivlav (NT, T), vitgrynig nållav (NT) och nordtätskinn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Nordtätskinn (DD)</w:t>
      </w:r>
      <w:r>
        <w:t xml:space="preserve"> är en nedbrytare som växer på undersidan av grova, liggande stammar av gran i urskogsartad blåbärsgranskog, delvis även i fjällgranskog. Tillgången på mossrika granurskogar norr om polcirkeln är avgörande för artens överlevnad i vårt land.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