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16645-2023 i Bengtsfors kommun</w:t>
      </w:r>
    </w:p>
    <w:p>
      <w:r>
        <w:t>Detta dokument behandlar höga naturvärden i avverkningsamälan A 16645-2023 i Bengtsfors kommun. Denna avverkningsanmälan inkom 2023-04-14 och omfattar 21,4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duvhök (NT, §4), garnlav (NT), gultoppig fingersvamp (NT), orange taggsvamp (NT), spillkråka (NT, §4), talltita (NT, §4), tretåig hackspett (NT, §4), vedtrappmossa (NT), barkticka (S), bollvitmossa (S), bronshjon (S), dropptaggsvamp (S), grön sköldmossa (S, §8), grönpyrola (S), kattfotslav (S), korallblylav (S), plattlummer (S, §9), rävticka (S), skuggblåslav (S), thomsons trägnagare (S), vedticka (S) och västlig hakmossa (S).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549608"/>
            <wp:docPr id="1" name="Picture 1"/>
            <wp:cNvGraphicFramePr>
              <a:graphicFrameLocks noChangeAspect="1"/>
            </wp:cNvGraphicFramePr>
            <a:graphic>
              <a:graphicData uri="http://schemas.openxmlformats.org/drawingml/2006/picture">
                <pic:pic>
                  <pic:nvPicPr>
                    <pic:cNvPr id="0" name="A 16645-2023.png"/>
                    <pic:cNvPicPr/>
                  </pic:nvPicPr>
                  <pic:blipFill>
                    <a:blip r:embed="rId16"/>
                    <a:stretch>
                      <a:fillRect/>
                    </a:stretch>
                  </pic:blipFill>
                  <pic:spPr>
                    <a:xfrm>
                      <a:off x="0" y="0"/>
                      <a:ext cx="5486400" cy="254960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6571048, E 339066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Duvhök (NT, §4)</w:t>
      </w:r>
    </w:p>
    <w:p>
      <w:pPr>
        <w:pStyle w:val="ListBullet"/>
      </w:pPr>
      <w:r>
        <w:t>Spillkråka (NT, §4)</w:t>
      </w:r>
    </w:p>
    <w:p>
      <w:pPr>
        <w:pStyle w:val="ListBullet"/>
      </w:pPr>
      <w:r>
        <w:t>Talltita (NT, §4)</w:t>
      </w:r>
    </w:p>
    <w:p>
      <w:pPr>
        <w:pStyle w:val="ListBullet"/>
      </w:pPr>
      <w:r>
        <w:t>Tretåig hackspett (NT, §4)</w:t>
      </w:r>
    </w:p>
    <w:p>
      <w:pPr>
        <w:pStyle w:val="ListBullet"/>
      </w:pPr>
      <w:r>
        <w:t>Grön sköldmossa (S, §8)</w:t>
      </w:r>
    </w:p>
    <w:p>
      <w:pPr>
        <w:pStyle w:val="ListBullet"/>
      </w:pPr>
      <w:r>
        <w:t>Plattlummer (S,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886408"/>
            <wp:docPr id="2" name="Picture 2"/>
            <wp:cNvGraphicFramePr>
              <a:graphicFrameLocks noChangeAspect="1"/>
            </wp:cNvGraphicFramePr>
            <a:graphic>
              <a:graphicData uri="http://schemas.openxmlformats.org/drawingml/2006/picture">
                <pic:pic>
                  <pic:nvPicPr>
                    <pic:cNvPr id="0" name="A 16645-2023.png"/>
                    <pic:cNvPicPr/>
                  </pic:nvPicPr>
                  <pic:blipFill>
                    <a:blip r:embed="rId17"/>
                    <a:stretch>
                      <a:fillRect/>
                    </a:stretch>
                  </pic:blipFill>
                  <pic:spPr>
                    <a:xfrm>
                      <a:off x="0" y="0"/>
                      <a:ext cx="5486400" cy="288640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6571048, E 339066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