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23370-2021 i Borgholms kommun</w:t>
      </w:r>
    </w:p>
    <w:p>
      <w:r>
        <w:t>Detta dokument behandlar höga naturvärden i avverkningsamälan A 23370-2021 i Borgholms kommun. Denna avverkningsanmälan inkom 2021-05-20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rapssandbi (VU), bredarun (NT, §8), hedsidenbi (NT), Hydrophilus aterrimus (NT), kilbi (NT), klibbveronika (NT), vittåtel (NT), ängsmetallvinge (NT), skogsknipprot (S, §8), Dactylorhiza incarnata subsp. incarnata (§8), grönvit nattviol (§8) och kärrknipprot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3370-2021.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6299399, E 604774 i SWEREF 99 TM.</w:t>
      </w:r>
    </w:p>
    <w:p>
      <w:pPr>
        <w:pStyle w:val="Heading1"/>
      </w:pPr>
      <w:r>
        <w:t>Fridlysta arter</w:t>
      </w:r>
    </w:p>
    <w:p>
      <w:r>
        <w:t xml:space="preserve">Följande fridlysta arter har sina livsmiljöer och växtplatser i den avverkningsanmälda skogen: </w:t>
      </w:r>
    </w:p>
    <w:p>
      <w:pPr>
        <w:pStyle w:val="ListBullet"/>
      </w:pPr>
      <w:r>
        <w:t>Bredarun (NT, §8)</w:t>
      </w:r>
    </w:p>
    <w:p>
      <w:pPr>
        <w:pStyle w:val="ListBullet"/>
      </w:pPr>
      <w:r>
        <w:t>Skogsknipprot (S, §8)</w:t>
      </w:r>
    </w:p>
    <w:p>
      <w:pPr>
        <w:pStyle w:val="ListBullet"/>
      </w:pPr>
      <w:r>
        <w:t>Dactylorhiza incarnata subsp. incarnata (§8)</w:t>
      </w:r>
    </w:p>
    <w:p>
      <w:pPr>
        <w:pStyle w:val="ListBullet"/>
      </w:pPr>
      <w:r>
        <w:t>Grönvit nattviol (§8)</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