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47-2020 i Bräcke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