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Sjättnäsbäcken SCA i Bergs kommun</w:t>
      </w:r>
    </w:p>
    <w:p>
      <w:r>
        <w:t>Denna tillsynsbegäran behandlar höga naturvärden i avverkningsanmälan Sjättnäsbäcken SCA i Bergs kommun som inkom 2026-07-19 och omfattar 35,4 ha.</w:t>
      </w:r>
    </w:p>
    <w:p>
      <w:pPr>
        <w:pStyle w:val="Caption"/>
      </w:pPr>
      <w:r>
        <w:drawing>
          <wp:inline xmlns:a="http://schemas.openxmlformats.org/drawingml/2006/main" xmlns:pic="http://schemas.openxmlformats.org/drawingml/2006/picture">
            <wp:extent cx="5486400" cy="4741333"/>
            <wp:docPr id="1" name="Picture 1"/>
            <wp:cNvGraphicFramePr>
              <a:graphicFrameLocks noChangeAspect="1"/>
            </wp:cNvGraphicFramePr>
            <a:graphic>
              <a:graphicData uri="http://schemas.openxmlformats.org/drawingml/2006/picture">
                <pic:pic>
                  <pic:nvPicPr>
                    <pic:cNvPr id="0" name="Sjättnäsbäcken SCA karta.png"/>
                    <pic:cNvPicPr/>
                  </pic:nvPicPr>
                  <pic:blipFill>
                    <a:blip r:embed="rId16"/>
                    <a:stretch>
                      <a:fillRect/>
                    </a:stretch>
                  </pic:blipFill>
                  <pic:spPr>
                    <a:xfrm>
                      <a:off x="0" y="0"/>
                      <a:ext cx="5486400" cy="47413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6922716, E 471032 i SWEREF 99 TM.</w:t>
      </w:r>
    </w:p>
    <w:p>
      <w:r>
        <w:t>I avverkningsanmälan finns fynd av 7 naturvårdsarter, varav 4 är rödlistade, 1 är fridlyst, 6 är typiska (T) och 3 är signalarter (S): garnlav (VU, T), lunglav (NT, T), skrovellav (NT, T), vitgrynig nållav (NT), bårdlav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bårdlav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