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Galvattsberget i Bergs kommun</w:t>
      </w:r>
    </w:p>
    <w:p>
      <w:r>
        <w:t>Detta klagomål behandlar höga naturvärden i avverkningsanmälan Galvattsberget i Bergs kommun som inkom 2026-07-20 och omfattar 227,4 ha.</w:t>
      </w:r>
    </w:p>
    <w:p>
      <w:pPr>
        <w:pStyle w:val="Caption"/>
      </w:pPr>
      <w:r>
        <w:drawing>
          <wp:inline xmlns:a="http://schemas.openxmlformats.org/drawingml/2006/main" xmlns:pic="http://schemas.openxmlformats.org/drawingml/2006/picture">
            <wp:extent cx="5196841" cy="5724000"/>
            <wp:docPr id="1" name="Picture 1"/>
            <wp:cNvGraphicFramePr>
              <a:graphicFrameLocks noChangeAspect="1"/>
            </wp:cNvGraphicFramePr>
            <a:graphic>
              <a:graphicData uri="http://schemas.openxmlformats.org/drawingml/2006/picture">
                <pic:pic>
                  <pic:nvPicPr>
                    <pic:cNvPr id="0" name="Galvattsberget karta.png"/>
                    <pic:cNvPicPr/>
                  </pic:nvPicPr>
                  <pic:blipFill>
                    <a:blip r:embed="rId16"/>
                    <a:stretch>
                      <a:fillRect/>
                    </a:stretch>
                  </pic:blipFill>
                  <pic:spPr>
                    <a:xfrm>
                      <a:off x="0" y="0"/>
                      <a:ext cx="519684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6933897, E 491070 i SWEREF 99 TM.</w:t>
      </w:r>
    </w:p>
    <w:p>
      <w:r>
        <w:t>I och inom 23 meter från avverkningsanmälan finns fynd av 31 naturvårdsarter, varav 19 är rödlistade, 4 är fridlysta, 29 är typiska (T) och 12 är signalarter (S): blackticka (VU), doftticka (VU, T, §8), garnlav (VU, T), knärot (VU, T, §8), doftskinn (NT, T), dvärgbägarlav (NT, T), gammelgransskål (NT, T), harticka (NT, T), kolflarnlav (NT, T), lunglav (NT, T), mörk kolflarnlav (NT), rosenticka (NT, T), rynkskinn (NT, T), skrovellav (NT, T), skrovlig flatbagge (NT, T), tretåig hackspett (NT, T, §4), ullticka (NT, T), vedskivlav (NT, T), violettgrå tagellav (NT, T), bronshjon (S, T), bårdlav (S, T), korallblylav (S, T), kransrams (S, T), luddlav (S, T), nästlav (S, T), skinnlav (S, T), spindelblomster (S, T, §8), stuplav (S, T), trådticka (S, T), vedticka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16.72 ha med buffertzonerna och får av detta skäl inte avverkas.</w:t>
      </w:r>
    </w:p>
    <w:p>
      <w:pPr>
        <w:pStyle w:val="Caption"/>
      </w:pPr>
      <w:r>
        <w:drawing>
          <wp:inline xmlns:a="http://schemas.openxmlformats.org/drawingml/2006/main" xmlns:pic="http://schemas.openxmlformats.org/drawingml/2006/picture">
            <wp:extent cx="5486400" cy="8474217"/>
            <wp:docPr id="2" name="Picture 2"/>
            <wp:cNvGraphicFramePr>
              <a:graphicFrameLocks noChangeAspect="1"/>
            </wp:cNvGraphicFramePr>
            <a:graphic>
              <a:graphicData uri="http://schemas.openxmlformats.org/drawingml/2006/picture">
                <pic:pic>
                  <pic:nvPicPr>
                    <pic:cNvPr id="0" name="Galvattsberget karta knärot.png"/>
                    <pic:cNvPicPr/>
                  </pic:nvPicPr>
                  <pic:blipFill>
                    <a:blip r:embed="rId17"/>
                    <a:stretch>
                      <a:fillRect/>
                    </a:stretch>
                  </pic:blipFill>
                  <pic:spPr>
                    <a:xfrm>
                      <a:off x="0" y="0"/>
                      <a:ext cx="5486400" cy="84742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6933897, E 491070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Skrovlig flatbagge (NT) </w:t>
      </w:r>
      <w:r>
        <w:t xml:space="preserve">är en skalbagge vars larvutveckling sker i mycelrik ved nära fruktkroppar av timmerticka eller citronticka i lågor av barrträd, främst tall, men även gran. Fullbildade skalbaggar påträffas i eller utanpå stammen vid näringsgnag på de vitaktiga, resupinata fruktkropparna. Arten missgynnas framförallt av att skogen blir tätare på grund av skogsskötsel och av att såväl återkommande bränder som skogsbete upphört. I naturligt öppnare miljöer hotas arten av vedtäkt och annat tillvaratagande av tallvirke. Naturligt brunnen tallskog i eller nära lokaler med arten bör skyddas. I skogsbruket bör mer naturvårdsträd av tall och vindfällen lämnas i fred. Detta är särskilt viktigt i kantzoner mot mer öppen mark tex. invid hällmarksimpediment. Skrovlig flatbagge är typisk art för </w:t>
      </w:r>
      <w:r>
        <w:rPr>
          <w:i/>
        </w:rPr>
        <w:t>9060 Åsbarrskog</w:t>
      </w:r>
      <w:r>
        <w:t xml:space="preserve"> och</w:t>
      </w:r>
      <w:r>
        <w:rPr>
          <w:b/>
        </w:rPr>
        <w:t xml:space="preserve"> </w:t>
      </w:r>
      <w:r>
        <w:t>ingår i ett åtgärdsprogram för hotade arter (ÅGP). Den är rödlistad som sårbar (VU) på den europeiska rödlistan vilket medför ett internationellt ansvar för arten (IUCN, 2025; SLU Artdatabanken, 2024; Wikars, 2014).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31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