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Gärdsjögucken i Bergs kommun</w:t>
      </w:r>
    </w:p>
    <w:p>
      <w:r>
        <w:t>Detta klagomål behandlar höga naturvärden i avverkningsanmälan Gärdsjögucken i Bergs kommun som inkom 2026-07-20 och omfattar 57,5 ha.</w:t>
      </w:r>
    </w:p>
    <w:p>
      <w:pPr>
        <w:pStyle w:val="Caption"/>
      </w:pPr>
      <w:r>
        <w:drawing>
          <wp:inline xmlns:a="http://schemas.openxmlformats.org/drawingml/2006/main" xmlns:pic="http://schemas.openxmlformats.org/drawingml/2006/picture">
            <wp:extent cx="4895889" cy="5724000"/>
            <wp:docPr id="1" name="Picture 1"/>
            <wp:cNvGraphicFramePr>
              <a:graphicFrameLocks noChangeAspect="1"/>
            </wp:cNvGraphicFramePr>
            <a:graphic>
              <a:graphicData uri="http://schemas.openxmlformats.org/drawingml/2006/picture">
                <pic:pic>
                  <pic:nvPicPr>
                    <pic:cNvPr id="0" name="Gärdsjögucken karta.png"/>
                    <pic:cNvPicPr/>
                  </pic:nvPicPr>
                  <pic:blipFill>
                    <a:blip r:embed="rId16"/>
                    <a:stretch>
                      <a:fillRect/>
                    </a:stretch>
                  </pic:blipFill>
                  <pic:spPr>
                    <a:xfrm>
                      <a:off x="0" y="0"/>
                      <a:ext cx="4895889"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6937120, E 493950 i SWEREF 99 TM.</w:t>
      </w:r>
    </w:p>
    <w:p>
      <w:r>
        <w:t>I och inom 6 meter från avverkningsanmälan finns fynd av 28 naturvårdsarter, varav 20 är rödlistade, 5 är fridlysta, 22 är typiska (T) och 6 är signalarter (S): garnlav (VU, T), gräddporing (VU, T), knärot (VU, T, §8), blågrå svartspik (NT), brunpudrad nållav (NT, T), dropptaggsvamp (NT, T), dvärgbägarlav (NT, T), kolflarnlav (NT, T), kortskaftad ärgspik (NT), lunglav (NT, T), mörk kolflarnlav (NT), nordtagging (NT), skrovellav (NT, T), talltita (NT, §4), tretåig hackspett (NT, T, §4), ullticka (NT, T), vedflamlav (NT), vedskivlav (NT, T), vedtrappmossa (NT, T), violettgrå tagellav (NT, T), barkkornlav (S, T), blodticka (S, T), korallblylav (S, T), norrlandslav (S, T), stuplav (S, T), vedticka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72 fyndplatser för knärot registrerade på Artportalen. Figur 2 visar gränserna för buffertzoner på 50 m, som behöver lämnas kring fyndplatserna för att knärotslokalerna inte ska försvinna vid en avverkning. Av det avverkningsanmälda området överlappar 21.30 ha med buffertzonerna och får av detta skäl inte avverkas.</w:t>
      </w:r>
    </w:p>
    <w:p>
      <w:pPr>
        <w:pStyle w:val="Caption"/>
      </w:pPr>
      <w:r>
        <w:drawing>
          <wp:inline xmlns:a="http://schemas.openxmlformats.org/drawingml/2006/main" xmlns:pic="http://schemas.openxmlformats.org/drawingml/2006/picture">
            <wp:extent cx="5486400" cy="9223237"/>
            <wp:docPr id="2" name="Picture 2"/>
            <wp:cNvGraphicFramePr>
              <a:graphicFrameLocks noChangeAspect="1"/>
            </wp:cNvGraphicFramePr>
            <a:graphic>
              <a:graphicData uri="http://schemas.openxmlformats.org/drawingml/2006/picture">
                <pic:pic>
                  <pic:nvPicPr>
                    <pic:cNvPr id="0" name="Gärdsjögucken karta knärot.png"/>
                    <pic:cNvPicPr/>
                  </pic:nvPicPr>
                  <pic:blipFill>
                    <a:blip r:embed="rId17"/>
                    <a:stretch>
                      <a:fillRect/>
                    </a:stretch>
                  </pic:blipFill>
                  <pic:spPr>
                    <a:xfrm>
                      <a:off x="0" y="0"/>
                      <a:ext cx="5486400" cy="92232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6937120, E 493950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