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Ömansholmen i Bergs kommun</w:t>
      </w:r>
    </w:p>
    <w:p>
      <w:r>
        <w:t>Detta klagomål behandlar höga naturvärden i avverkningsanmälan Ömansholmen i Bergs kommun som inkom 2026-07-20 och omfattar 87,8 ha.</w:t>
      </w:r>
    </w:p>
    <w:p>
      <w:pPr>
        <w:pStyle w:val="Caption"/>
      </w:pPr>
      <w:r>
        <w:drawing>
          <wp:inline xmlns:a="http://schemas.openxmlformats.org/drawingml/2006/main" xmlns:pic="http://schemas.openxmlformats.org/drawingml/2006/picture">
            <wp:extent cx="5246249" cy="5724000"/>
            <wp:docPr id="1" name="Picture 1"/>
            <wp:cNvGraphicFramePr>
              <a:graphicFrameLocks noChangeAspect="1"/>
            </wp:cNvGraphicFramePr>
            <a:graphic>
              <a:graphicData uri="http://schemas.openxmlformats.org/drawingml/2006/picture">
                <pic:pic>
                  <pic:nvPicPr>
                    <pic:cNvPr id="0" name="Ömansholmen karta.png"/>
                    <pic:cNvPicPr/>
                  </pic:nvPicPr>
                  <pic:blipFill>
                    <a:blip r:embed="rId16"/>
                    <a:stretch>
                      <a:fillRect/>
                    </a:stretch>
                  </pic:blipFill>
                  <pic:spPr>
                    <a:xfrm>
                      <a:off x="0" y="0"/>
                      <a:ext cx="524624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6912882, E 505422 i SWEREF 99 TM.</w:t>
      </w:r>
    </w:p>
    <w:p>
      <w:r>
        <w:t>I avverkningsanmälan finns fynd av 17 naturvårdsarter, varav 13 är rödlistade, 4 är fridlysta, 14 är typiska (T) och 2 är signalarter (S): knärot (VU, T, §8), dropptaggsvamp (NT, T), dvärgbägarlav (NT, T), gammelgransskål (NT, T), kolflarnlav (NT, T), kortskaftad ärgspik (NT), mörk kolflarnlav (NT), reliktbock (NT, T), tallticka (NT, T), talltita (NT, §4), ullticka (NT, T), vedskivlav (NT, T), vedtrappmossa (NT, T), norrlandslav (S, T), vedticka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142 fyndplatser för knärot registrerade på Artportalen. Figur 2 visar gränserna för buffertzoner på 50 m, som behöver lämnas kring fyndplatserna för att knärotslokalerna inte ska försvinna vid en avverkning. Av det avverkningsanmälda området överlappar 31.39 ha med buffertzonerna och får av detta skäl inte avverkas.</w:t>
      </w:r>
    </w:p>
    <w:p>
      <w:pPr>
        <w:pStyle w:val="Caption"/>
      </w:pPr>
      <w:r>
        <w:drawing>
          <wp:inline xmlns:a="http://schemas.openxmlformats.org/drawingml/2006/main" xmlns:pic="http://schemas.openxmlformats.org/drawingml/2006/picture">
            <wp:extent cx="5486400" cy="5739038"/>
            <wp:docPr id="2" name="Picture 2"/>
            <wp:cNvGraphicFramePr>
              <a:graphicFrameLocks noChangeAspect="1"/>
            </wp:cNvGraphicFramePr>
            <a:graphic>
              <a:graphicData uri="http://schemas.openxmlformats.org/drawingml/2006/picture">
                <pic:pic>
                  <pic:nvPicPr>
                    <pic:cNvPr id="0" name="Ömansholmen karta knärot.png"/>
                    <pic:cNvPicPr/>
                  </pic:nvPicPr>
                  <pic:blipFill>
                    <a:blip r:embed="rId17"/>
                    <a:stretch>
                      <a:fillRect/>
                    </a:stretch>
                  </pic:blipFill>
                  <pic:spPr>
                    <a:xfrm>
                      <a:off x="0" y="0"/>
                      <a:ext cx="5486400" cy="57390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6912882, E 505422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