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Halstjärnarna i Bergs kommun</w:t>
      </w:r>
    </w:p>
    <w:p>
      <w:r>
        <w:t>Denna tillsynsbegäran behandlar höga naturvärden i avverkningsanmälan Halstjärnarna i Bergs kommun som inkom 2026-07-19 och omfattar 86,6 ha.</w:t>
      </w:r>
    </w:p>
    <w:p>
      <w:pPr>
        <w:pStyle w:val="Caption"/>
      </w:pPr>
      <w:r>
        <w:drawing>
          <wp:inline xmlns:a="http://schemas.openxmlformats.org/drawingml/2006/main" xmlns:pic="http://schemas.openxmlformats.org/drawingml/2006/picture">
            <wp:extent cx="5118941" cy="5724000"/>
            <wp:docPr id="1" name="Picture 1"/>
            <wp:cNvGraphicFramePr>
              <a:graphicFrameLocks noChangeAspect="1"/>
            </wp:cNvGraphicFramePr>
            <a:graphic>
              <a:graphicData uri="http://schemas.openxmlformats.org/drawingml/2006/picture">
                <pic:pic>
                  <pic:nvPicPr>
                    <pic:cNvPr id="0" name="Halstjärnarna karta.png"/>
                    <pic:cNvPicPr/>
                  </pic:nvPicPr>
                  <pic:blipFill>
                    <a:blip r:embed="rId16"/>
                    <a:stretch>
                      <a:fillRect/>
                    </a:stretch>
                  </pic:blipFill>
                  <pic:spPr>
                    <a:xfrm>
                      <a:off x="0" y="0"/>
                      <a:ext cx="511894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6918694, E 488751 i SWEREF 99 TM.</w:t>
      </w:r>
    </w:p>
    <w:p>
      <w:r>
        <w:t>I och inom 25 meter från avverkningsanmälan finns fynd av 66 naturvårdsarter, varav 48 är rödlistade, 9 är fridlysta, 37 är typiska (T) och 14 är signalarter (S): kolticka (CR), kritporing (CR), urskogsporing (EN), doftticka (VU, T, §8), fläckporing (VU, T), garnlav (VU, T), goliatmusseron (VU, T), gräddporing (VU, T), gränsticka (VU, T), knärot (VU, T, §8), laxgröppa (VU), rostskinn (VU), skrovlig taggsvamp (VU), smalfotad taggsvamp (VU), smultronkantarell (VU), tajgataggsvamp (VU), apelsinticka (NT), blanksvart spiklav (NT), blek lundlav (NT), blå taggsvamp (NT, T), blågrå svartspik (NT), brunpudrad nållav (NT, T), dropptaggsvamp (NT, T), dvärgbägarlav (NT, T), gammelgransskål (NT, T), grå blåbärsfältmätare (NT), knottrig blåslav (NT, T), kolflarnlav (NT, T), kortskaftad ärgspik (NT), kådvaxskinn (NT), lunglav (NT, T), mörk kolflarnlav (NT), nordtagging (NT), orange taggsvamp (NT, T), skarp dropptaggsvamp (NT), skorpgelélav (NT), skrovellav (NT, T), talltagel (NT, T), tallticka (NT, T), talltita (NT, §4), tretåig hackspett (NT, T, §4), ullticka (NT, T), vaddporing (NT), vedflamlav (NT), vedskivlav (NT, T), vedtrappmossa (NT, T), vitgrynig nållav (NT), vitplätt (NT), bollvitmossa (S, T), bårdlav (S, T), flagellkvastmossa (S, T), grönpyrola (S, T), gytterlav (S, T), korallblylav (S, T), luddlav (S, T), norrlandslav (S, T), nästlav (S, T), skinnlav (S, T), spindelblomster (S, T, §8), stuplav (S, T), vedticka (S, T), vågbandad barkbock (S), tjäder (T, §4), fiskgjuse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7.56 ha med buffertzonerna och får av detta skäl inte avverkas.</w:t>
      </w:r>
    </w:p>
    <w:p>
      <w:pPr>
        <w:pStyle w:val="Caption"/>
      </w:pPr>
      <w:r>
        <w:drawing>
          <wp:inline xmlns:a="http://schemas.openxmlformats.org/drawingml/2006/main" xmlns:pic="http://schemas.openxmlformats.org/drawingml/2006/picture">
            <wp:extent cx="5486400" cy="5584439"/>
            <wp:docPr id="2" name="Picture 2"/>
            <wp:cNvGraphicFramePr>
              <a:graphicFrameLocks noChangeAspect="1"/>
            </wp:cNvGraphicFramePr>
            <a:graphic>
              <a:graphicData uri="http://schemas.openxmlformats.org/drawingml/2006/picture">
                <pic:pic>
                  <pic:nvPicPr>
                    <pic:cNvPr id="0" name="Halstjärnarna karta knärot.png"/>
                    <pic:cNvPicPr/>
                  </pic:nvPicPr>
                  <pic:blipFill>
                    <a:blip r:embed="rId17"/>
                    <a:stretch>
                      <a:fillRect/>
                    </a:stretch>
                  </pic:blipFill>
                  <pic:spPr>
                    <a:xfrm>
                      <a:off x="0" y="0"/>
                      <a:ext cx="5486400" cy="55844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6918694, E 488751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Blek lundlav (NT)</w:t>
      </w:r>
      <w:r>
        <w:t xml:space="preserve"> växer på senvuxna aspar i öppna, asprika skogar med hög luftfuktighet i norra Sverige. Arten hotas främst av slutavverkning av naturskogsartad asprik barrskog. Många av de aspar som sparas i samband med avverkningar faller inom något år efter avverkningen på grund av alltför små eller obefintliga skyddszoner kring träden. Naturskogsartad asprik barrskog med blek lundlav indikerar höga biologiska värden och bör bevaras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goliatmusseron (VU, T), gräddporing (VU, T), gränsticka (VU, T), knärot (VU, T, §8), blå taggsvamp (NT, T), brunpudrad nållav (NT, T), dropptaggsvamp (NT, T), dvärgbägarlav (NT, T), gammelgransskål (NT, T), knottrig blåslav (NT, T), kolflarnlav (NT, T), lunglav (NT, T), orange taggsvamp (NT, T), skrovellav (NT, T), talltagel (NT, T), tallticka (NT, T), tretåig hackspett (NT, T, §4), ullticka (NT, T), vedskivlav (NT, T), vedtrappmossa (NT, T), bollvitmossa (S, T), bårdlav (S, T), flagellkvastmossa (S, T), grönpyrola (S, T), gytterlav (S, T), korallblylav (S, T), luddlav (S, T), norrlandslav (S, T), nästlav (S, T), skinnlav (S, T), spindelblomster (S, T, §8),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