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Blåtjärnen i Bergs kommun</w:t>
      </w:r>
    </w:p>
    <w:p>
      <w:r>
        <w:t>Denna tillsynsbegäran behandlar höga naturvärden i avverkningsanmälan Blåtjärnen i Bergs kommun som inkom 2026-07-17 och omfattar 94,1 ha.</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Blåtjärnen karta.png"/>
                    <pic:cNvPicPr/>
                  </pic:nvPicPr>
                  <pic:blipFill>
                    <a:blip r:embed="rId16"/>
                    <a:stretch>
                      <a:fillRect/>
                    </a:stretch>
                  </pic:blipFill>
                  <pic:spPr>
                    <a:xfrm>
                      <a:off x="0" y="0"/>
                      <a:ext cx="5486400" cy="55435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6915070, E 501363 i SWEREF 99 TM.</w:t>
      </w:r>
    </w:p>
    <w:p>
      <w:r>
        <w:t>I avverkningsanmälan finns fynd av 8 naturvårdsarter, varav 5 är rödlistade, 2 är fridlysta, 7 är typiska (T) och 2 är signalarter (S): knärot (VU, T, §8), dvärgbägarlav (NT, T), lunglav (NT, T), reliktbock (NT, T), vitplätt (NT), grönpyrola (S, T),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4.73 ha med buffertzonerna och får av detta skäl inte avverkas.</w:t>
      </w:r>
    </w:p>
    <w:p>
      <w:pPr>
        <w:pStyle w:val="Caption"/>
      </w:pPr>
      <w:r>
        <w:drawing>
          <wp:inline xmlns:a="http://schemas.openxmlformats.org/drawingml/2006/main" xmlns:pic="http://schemas.openxmlformats.org/drawingml/2006/picture">
            <wp:extent cx="5486400" cy="7102057"/>
            <wp:docPr id="2" name="Picture 2"/>
            <wp:cNvGraphicFramePr>
              <a:graphicFrameLocks noChangeAspect="1"/>
            </wp:cNvGraphicFramePr>
            <a:graphic>
              <a:graphicData uri="http://schemas.openxmlformats.org/drawingml/2006/picture">
                <pic:pic>
                  <pic:nvPicPr>
                    <pic:cNvPr id="0" name="Blåtjärnen karta knärot.png"/>
                    <pic:cNvPicPr/>
                  </pic:nvPicPr>
                  <pic:blipFill>
                    <a:blip r:embed="rId17"/>
                    <a:stretch>
                      <a:fillRect/>
                    </a:stretch>
                  </pic:blipFill>
                  <pic:spPr>
                    <a:xfrm>
                      <a:off x="0" y="0"/>
                      <a:ext cx="5486400" cy="710205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6915070, E 501363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dvärgbägarlav (NT, T), lunglav (NT, T), reliktbock (NT, T), grönpyrola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