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Kölavallhöjden i Bergs kommun</w:t>
      </w:r>
    </w:p>
    <w:p>
      <w:r>
        <w:t>Detta klagomål behandlar höga naturvärden i avverkningsanmälan Kölavallhöjden i Bergs kommun som inkom 2026-07-16 och omfattar 57,8 ha.</w:t>
      </w:r>
    </w:p>
    <w:p>
      <w:pPr>
        <w:pStyle w:val="Caption"/>
      </w:pPr>
      <w:r>
        <w:drawing>
          <wp:inline xmlns:a="http://schemas.openxmlformats.org/drawingml/2006/main" xmlns:pic="http://schemas.openxmlformats.org/drawingml/2006/picture">
            <wp:extent cx="5216511" cy="5724000"/>
            <wp:docPr id="1" name="Picture 1"/>
            <wp:cNvGraphicFramePr>
              <a:graphicFrameLocks noChangeAspect="1"/>
            </wp:cNvGraphicFramePr>
            <a:graphic>
              <a:graphicData uri="http://schemas.openxmlformats.org/drawingml/2006/picture">
                <pic:pic>
                  <pic:nvPicPr>
                    <pic:cNvPr id="0" name="Kölavallhöjden karta.png"/>
                    <pic:cNvPicPr/>
                  </pic:nvPicPr>
                  <pic:blipFill>
                    <a:blip r:embed="rId16"/>
                    <a:stretch>
                      <a:fillRect/>
                    </a:stretch>
                  </pic:blipFill>
                  <pic:spPr>
                    <a:xfrm>
                      <a:off x="0" y="0"/>
                      <a:ext cx="52165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6936077, E 491982 i SWEREF 99 TM.</w:t>
      </w:r>
    </w:p>
    <w:p>
      <w:r>
        <w:t>I avverkningsanmälan finns fynd av 16 naturvårdsarter, varav 10 är rödlistade, 3 är fridlysta, 14 är typiska (T) och 5 är signalarter (S): doftticka (VU, T, §8), knärot (VU, T, §8), doftskinn (NT, T), lunglav (NT, T), rosenticka (NT, T), rynkskinn (NT, T), stiftgelélav (NT, T), stjärntagging (NT, T), ullticka (NT, T), vitgrynig nållav (NT), bårdlav (S, T), korallblylav (S, T), stor aspticka (S, T), stuplav (S, T),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8104276"/>
            <wp:docPr id="2" name="Picture 2"/>
            <wp:cNvGraphicFramePr>
              <a:graphicFrameLocks noChangeAspect="1"/>
            </wp:cNvGraphicFramePr>
            <a:graphic>
              <a:graphicData uri="http://schemas.openxmlformats.org/drawingml/2006/picture">
                <pic:pic>
                  <pic:nvPicPr>
                    <pic:cNvPr id="0" name="Kölavallhöjden karta knärot.png"/>
                    <pic:cNvPicPr/>
                  </pic:nvPicPr>
                  <pic:blipFill>
                    <a:blip r:embed="rId17"/>
                    <a:stretch>
                      <a:fillRect/>
                    </a:stretch>
                  </pic:blipFill>
                  <pic:spPr>
                    <a:xfrm>
                      <a:off x="0" y="0"/>
                      <a:ext cx="5486400" cy="81042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6936077, E 491982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