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Hundtjärnbrännan i Bergs kommun</w:t>
      </w:r>
    </w:p>
    <w:p>
      <w:r>
        <w:t>Detta klagomål behandlar höga naturvärden i avverkningsanmälan Hundtjärnbrännan i Bergs kommun som inkom 2026-07-18 och omfattar 182,9 ha.</w:t>
      </w:r>
    </w:p>
    <w:p>
      <w:pPr>
        <w:pStyle w:val="Caption"/>
      </w:pPr>
      <w:r>
        <w:drawing>
          <wp:inline xmlns:a="http://schemas.openxmlformats.org/drawingml/2006/main" xmlns:pic="http://schemas.openxmlformats.org/drawingml/2006/picture">
            <wp:extent cx="5486400" cy="3736785"/>
            <wp:docPr id="1" name="Picture 1"/>
            <wp:cNvGraphicFramePr>
              <a:graphicFrameLocks noChangeAspect="1"/>
            </wp:cNvGraphicFramePr>
            <a:graphic>
              <a:graphicData uri="http://schemas.openxmlformats.org/drawingml/2006/picture">
                <pic:pic>
                  <pic:nvPicPr>
                    <pic:cNvPr id="0" name="Hundtjärnbrännan karta.png"/>
                    <pic:cNvPicPr/>
                  </pic:nvPicPr>
                  <pic:blipFill>
                    <a:blip r:embed="rId16"/>
                    <a:stretch>
                      <a:fillRect/>
                    </a:stretch>
                  </pic:blipFill>
                  <pic:spPr>
                    <a:xfrm>
                      <a:off x="0" y="0"/>
                      <a:ext cx="5486400" cy="37367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6931860, E 504620 i SWEREF 99 TM.</w:t>
      </w:r>
    </w:p>
    <w:p>
      <w:r>
        <w:t>I och inom 18 meter från avverkningsanmälan finns fynd av 45 naturvårdsarter, varav 31 är rödlistade, 8 är fridlysta, 35 är typiska (T) och 12 är signalarter (S): urskogsporing (EN), urskogsticka (EN), borsttagging (VU), doftticka (VU, T, §8), fläckporing (VU, T), garnlav (VU, T), gräddporing (VU, T), gränsticka (VU, T), knärot (VU, T, §8), lateritticka (VU), blanksvart spiklav (NT), blågrå svartspik (NT), brunpudrad nållav (NT, T), doftskinn (NT, T), dvärgbägarlav (NT, T), gammelgransskål (NT, T), kattfotslav (NT, T), kolflarnlav (NT, T), lunglav (NT, T), mörk kolflarnlav (NT), nordtagging (NT), orange taggsvamp (NT, T), rosenticka (NT, T), skrovellav (NT, T), stiftgelélav (NT, T), tretåig hackspett (NT, T, §4), ullticka (NT, T), vedflamlav (NT), vedskivlav (NT, T), vedtrappmossa (NT, T), violettgrå tagellav (NT, T), barkkornlav (S, T), bårdlav (S, T), grönkulla (S, T, §8), grönpyrola (S, T), korallblylav (S, T), korallrot (S, T, §8), luddlav (S, T), norrlandslav (S, T), plattlummer (S, T, §9), skinnlav (S, T), stuplav (S, T), vedticka (S, T), tjäder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Urskogsticka (EN)</w:t>
      </w:r>
      <w:r>
        <w:t xml:space="preserve"> är en starkt hotad art som växer på lågor och högstubbar av tall, ofta på bränd ved och på träd av grova dimensioner. Den förekommer enbart i gamla naturskogsartade barrskogsbestånd på torrare mark och med dominans för tall. Sannolikt krävs att man helt avstår från skogsbruk på aktuella lokaler. Arten tycks särskilt beroende av att de grova dimensionerna finns kvar i bestånden liksom att det sker en kontinuerlig nybildning av grov ved. Arten gynnas troligen av skogsbrand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3.67 ha med buffertzonerna och får av detta skäl inte avverkas.</w:t>
      </w:r>
    </w:p>
    <w:p>
      <w:pPr>
        <w:pStyle w:val="Caption"/>
      </w:pPr>
      <w:r>
        <w:drawing>
          <wp:inline xmlns:a="http://schemas.openxmlformats.org/drawingml/2006/main" xmlns:pic="http://schemas.openxmlformats.org/drawingml/2006/picture">
            <wp:extent cx="5486400" cy="2643276"/>
            <wp:docPr id="2" name="Picture 2"/>
            <wp:cNvGraphicFramePr>
              <a:graphicFrameLocks noChangeAspect="1"/>
            </wp:cNvGraphicFramePr>
            <a:graphic>
              <a:graphicData uri="http://schemas.openxmlformats.org/drawingml/2006/picture">
                <pic:pic>
                  <pic:nvPicPr>
                    <pic:cNvPr id="0" name="Hundtjärnbrännan karta knärot.png"/>
                    <pic:cNvPicPr/>
                  </pic:nvPicPr>
                  <pic:blipFill>
                    <a:blip r:embed="rId17"/>
                    <a:stretch>
                      <a:fillRect/>
                    </a:stretch>
                  </pic:blipFill>
                  <pic:spPr>
                    <a:xfrm>
                      <a:off x="0" y="0"/>
                      <a:ext cx="5486400" cy="26432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6931860, E 504620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31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