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Holmnäset i Bergs kommun</w:t>
      </w:r>
    </w:p>
    <w:p>
      <w:r>
        <w:t>Denna tillsynsbegäran behandlar höga naturvärden i avverkningsanmälan Holmnäset i Bergs kommun som inkom 2026-07-15 och omfattar 163,9 ha.</w:t>
      </w:r>
    </w:p>
    <w:p>
      <w:pPr>
        <w:pStyle w:val="Caption"/>
      </w:pPr>
      <w:r>
        <w:drawing>
          <wp:inline xmlns:a="http://schemas.openxmlformats.org/drawingml/2006/main" xmlns:pic="http://schemas.openxmlformats.org/drawingml/2006/picture">
            <wp:extent cx="5409821" cy="5724000"/>
            <wp:docPr id="1" name="Picture 1"/>
            <wp:cNvGraphicFramePr>
              <a:graphicFrameLocks noChangeAspect="1"/>
            </wp:cNvGraphicFramePr>
            <a:graphic>
              <a:graphicData uri="http://schemas.openxmlformats.org/drawingml/2006/picture">
                <pic:pic>
                  <pic:nvPicPr>
                    <pic:cNvPr id="0" name="Holmnäset karta.png"/>
                    <pic:cNvPicPr/>
                  </pic:nvPicPr>
                  <pic:blipFill>
                    <a:blip r:embed="rId16"/>
                    <a:stretch>
                      <a:fillRect/>
                    </a:stretch>
                  </pic:blipFill>
                  <pic:spPr>
                    <a:xfrm>
                      <a:off x="0" y="0"/>
                      <a:ext cx="540982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6925051, E 515280 i SWEREF 99 TM.</w:t>
      </w:r>
    </w:p>
    <w:p>
      <w:r>
        <w:t>I avverkningsanmälan finns fynd av 25 naturvårdsarter, varav 20 är rödlistade, 1 är fridlyst, 18 är typiska (T) och 5 är signalarter (S): urskogsporing (EN), fläckporing (VU, T), garnlav (VU, T), knärot (VU, T, §8), ostticka (VU, T), blanksvart spiklav (NT), blågrå svartspik (NT), dropptaggsvamp (NT, T), dvärgbägarlav (NT, T), knottrig blåslav (NT, T), kolflarnlav (NT, T), lunglav (NT, T), mörk kolflarnlav (NT), nordtagging (NT), rynkskinn (NT, T), stiftgelélav (NT, T), vedflamlav (NT), vedskivlav (NT, T), vedtrappmossa (NT, T), vitgrynig nållav (NT), mindre märgborre (S, T), skinnlav (S, T), sotlav (S, T), stuplav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76 fyndplatser för knärot registrerade på Artportalen. Figur 2 visar gränserna för buffertzoner på 50 m, som behöver lämnas kring fyndplatserna för att knärotslokalerna inte ska försvinna vid en avverkning. Av det avverkningsanmälda området överlappar 32.61 ha med buffertzonerna och får av detta skäl inte avverkas.</w:t>
      </w:r>
    </w:p>
    <w:p>
      <w:pPr>
        <w:pStyle w:val="Caption"/>
      </w:pPr>
      <w:r>
        <w:drawing>
          <wp:inline xmlns:a="http://schemas.openxmlformats.org/drawingml/2006/main" xmlns:pic="http://schemas.openxmlformats.org/drawingml/2006/picture">
            <wp:extent cx="5486400" cy="5312947"/>
            <wp:docPr id="2" name="Picture 2"/>
            <wp:cNvGraphicFramePr>
              <a:graphicFrameLocks noChangeAspect="1"/>
            </wp:cNvGraphicFramePr>
            <a:graphic>
              <a:graphicData uri="http://schemas.openxmlformats.org/drawingml/2006/picture">
                <pic:pic>
                  <pic:nvPicPr>
                    <pic:cNvPr id="0" name="Holmnäset karta knärot.png"/>
                    <pic:cNvPicPr/>
                  </pic:nvPicPr>
                  <pic:blipFill>
                    <a:blip r:embed="rId17"/>
                    <a:stretch>
                      <a:fillRect/>
                    </a:stretch>
                  </pic:blipFill>
                  <pic:spPr>
                    <a:xfrm>
                      <a:off x="0" y="0"/>
                      <a:ext cx="5486400" cy="531294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6925051, E 515280 i SWEREF 99 TM.</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knärot (VU, T, §8), ostticka (VU, T), dropptaggsvamp (NT, T), dvärgbägarlav (NT, T), knottrig blåslav (NT, T), kolflarnlav (NT, T), lunglav (NT, T), rynkskinn (NT, T), stiftgelélav (NT, T), vedskivlav (NT, T), vedtrappmossa (NT, T), mindre märgborre (S, T), skinnlav (S, T), sotlav (S, T),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