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2026-07-14 och omfattar 49,7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och inom 4 meter från avverkningsanmälan finns fynd av 25 naturvårdsarter, varav 13 är rödlistade, 5 är fridlysta, 21 är typiska (T) och 7 är signalarter (S): garnlav (VU, T), knärot (VU, T, §8), gammelgransskål (NT, T), lunglav (NT, T), mörk kolflarnlav (NT), rosenticka (NT, T), rynkskinn (NT, T), skrovellav (NT, T), stiftgelélav (NT, T), talltita (NT, §4), tretåig hackspett (NT, T, §4), ullticka (NT, T), vitgrynig nållav (NT), bollvitmossa (S, T), bårdlav (S, T), korallblylav (S, T), luddlav (S, T), stuplav (S, T), trådticka (S, T), vedticka (S, T), kransmossa (T), spillkråka (T, §4), timmerticka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9.28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