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Björnideforsen C i Arvidsjaurs kommun</w:t>
      </w:r>
    </w:p>
    <w:p>
      <w:r>
        <w:t>Denna tillsynsbegäran behandlar höga naturvärden i avverkningsanmälan Björnideforsen C i Arvidsjaurs kommun som inkom 2026-07-16 och omfattar 132,0 ha.</w:t>
      </w:r>
    </w:p>
    <w:p>
      <w:pPr>
        <w:pStyle w:val="Caption"/>
      </w:pPr>
      <w:r>
        <w:drawing>
          <wp:inline xmlns:a="http://schemas.openxmlformats.org/drawingml/2006/main" xmlns:pic="http://schemas.openxmlformats.org/drawingml/2006/picture">
            <wp:extent cx="4706373" cy="5724000"/>
            <wp:docPr id="1" name="Picture 1"/>
            <wp:cNvGraphicFramePr>
              <a:graphicFrameLocks noChangeAspect="1"/>
            </wp:cNvGraphicFramePr>
            <a:graphic>
              <a:graphicData uri="http://schemas.openxmlformats.org/drawingml/2006/picture">
                <pic:pic>
                  <pic:nvPicPr>
                    <pic:cNvPr id="0" name="Björnideforsen C karta.png"/>
                    <pic:cNvPicPr/>
                  </pic:nvPicPr>
                  <pic:blipFill>
                    <a:blip r:embed="rId16"/>
                    <a:stretch>
                      <a:fillRect/>
                    </a:stretch>
                  </pic:blipFill>
                  <pic:spPr>
                    <a:xfrm>
                      <a:off x="0" y="0"/>
                      <a:ext cx="4706373"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7325825, E 696531 i SWEREF 99 TM.</w:t>
      </w:r>
    </w:p>
    <w:p>
      <w:r>
        <w:t>I och inom 25 meter från avverkningsanmälan finns fynd av 65 naturvårdsarter, varav 49 är rödlistade, 9 är fridlysta, 38 är typiska (T) och 15 är signalarter (S): lusporing (EN), Phellodon resupinatus (EN), urskogsporing (EN), borsttagging (VU), doftticka (VU, T, §8), fläckporing (VU, T), gräddporing (VU, T), gräddticka (VU), gränsticka (VU, T), knärot (VU, T, §8), kristallticka (VU), lateritticka (VU), laxgröppa (VU), laxporing (VU), Lecidea subhumida (VU), norna (VU, T, §7), smalfotad taggsvamp (VU), tallstocksticka (VU), timmerskapania (VU), blanksvart spiklav (NT), blå taggsvamp (NT, T), blågrå svartspik (NT), dropptaggsvamp (NT, T), dvärgbägarlav (NT, T), hornvaxskinn (NT), knottrig blåslav (NT, T), kolflarnlav (NT, T), kortskaftad ärgspik (NT), lavskrika (NT, T, §4), luddfingersvamp (NT), lunglav (NT, T), mörk kolflarnlav (NT), nordtagging (NT), orange taggsvamp (NT, T), rosenticka (NT, T), röd trolldruva (NT, T), skrovellav (NT, T), svartvit taggsvamp (NT), talltagel (NT, T), tallticka (NT, T), talltita (NT, §4), tretåig hackspett (NT, T, §4), vaddporing (NT), vedflamlav (NT), vedskivlav (NT, T), vedtrappmossa (NT, T), violmussling (NT, T), vitgrynig nållav (NT), vitplätt (NT), blodticka (S, T), bårdlav (S, T), dvärgtufs (S), gytterlav (S, T), korallblylav (S, T), luddlav (S, T), norrlandslav (S, T), nästlav (S, T), plattlummer (S, T, §9), skinnlav (S, T), spindelblomster (S, T, §8), stuplav (S, T), svart trolldruva (S, T), vedticka (S, T), ögonpyrola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Lusporing (EN)</w:t>
      </w:r>
      <w:r>
        <w:t xml:space="preserve"> är en sällsynt och starkt hotad art knuten till äldre tallnaturskog med en god kontinuitet av torr död tallved. Uppmärksammades först 2007 i Sverige och är idag känd från en handfull tallmiljöer framförallt i Västerbotten och Norrbotten. Total population i landet liten och bedöms fortlöpande att minska, huvudsakligen p.g.a. minskande förekomst av stående döda tallar, men även liggande stammar av tall i solvarma lägen (SLU Artdatabanken, 2025).</w:t>
      </w:r>
    </w:p>
    <w:p>
      <w:r>
        <w:rPr>
          <w:b/>
          <w:i/>
        </w:rPr>
        <w:t xml:space="preserve">Phellodon resupinatus </w:t>
      </w:r>
      <w:r>
        <w:rPr>
          <w:b/>
        </w:rPr>
        <w:t xml:space="preserve">(EN) </w:t>
      </w:r>
      <w:r>
        <w:t>är en starkt hotad lädertaggsvamp som bildar mykorrhiza med tall i brandpräglad torr tallskog med lång kontinuitet, på sandig mark eller sandig-grusig morän. Fruktkropparna bildas mot undersidan av gammal tallved, så kallad silverved eller keloved, av varierande dimension. Silverveden är ofta kolad av äldre bränder men fruktkropparna förekommer även på ved som saknar kolad yta. Den totala populationen i landet bedöms ha minskat kraftigt och förväntas fortsätta minska på grund av slutavverkning av brandpräglad äldre tallskog och brist på ved av lämplig kvalitet (SLU Artdatabanken, 2026).</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Borsttagging (VU)</w:t>
      </w:r>
      <w:r>
        <w:t xml:space="preserve"> är en sällsynt art som växer på såväl levande som döda stammar av lövträd, mest asp och sälg, ibland även på al och alm. Den indikerar gamla och lövträdslika skogsmiljöer med konstant hög och jämn luftfuktighet. Svampen är mycket känslig för all form av avverkning och dränering som kan orsaka ett torrare mikroklimat på växtplatsen (SLU Artdatabanken, 2024; Nitare &amp; Skogsstyrelsen, 2019).</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795599"/>
            <wp:docPr id="2" name="Picture 2"/>
            <wp:cNvGraphicFramePr>
              <a:graphicFrameLocks noChangeAspect="1"/>
            </wp:cNvGraphicFramePr>
            <a:graphic>
              <a:graphicData uri="http://schemas.openxmlformats.org/drawingml/2006/picture">
                <pic:pic>
                  <pic:nvPicPr>
                    <pic:cNvPr id="0" name="Björnideforsen C karta knärot.png"/>
                    <pic:cNvPicPr/>
                  </pic:nvPicPr>
                  <pic:blipFill>
                    <a:blip r:embed="rId17"/>
                    <a:stretch>
                      <a:fillRect/>
                    </a:stretch>
                  </pic:blipFill>
                  <pic:spPr>
                    <a:xfrm>
                      <a:off x="0" y="0"/>
                      <a:ext cx="5486400" cy="57955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7325825, E 696531 i SWEREF 99 TM.</w:t>
      </w:r>
    </w:p>
    <w:p>
      <w:r>
        <w:rPr>
          <w:b/>
        </w:rPr>
        <w:t>Kristallticka (VU)</w:t>
      </w:r>
      <w:r>
        <w:t xml:space="preserve"> är en mycket krävande art som växer i urskogsartade barrnaturskogar där det finns rikligt med grov död ved i olika nedbrytningsstadier. Den är placerad högst upp i Skogsstyrelsens värdepyramid för bedömning av skog med höga naturvärden och är en av våra främsta naturvärdesindikatorer på skyddsvärda barrnaturskogar. Alla skogsskötselåtgärder på eller i omedelbar närhet av lokalerna påverkar arten negativt liksom den minskande andelen död ved i kulturskogarna (SLU Artdatabanken, 2024; Nitare &amp; Skogsstyrelsen, 2019).</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Tallstocksticka (VU)</w:t>
      </w:r>
      <w:r>
        <w:t xml:space="preserve"> växer på gammal hård och grånad ved som under lång tid legat exponerad, främst barklösa grova lågor av tall i öppna, torra och solvarma miljöer. Arten är placerad högst upp i Skogsstyrelsens värdepyramid för bedömning av skog med höga naturvärden och signalerar glesa tallnaturskogar med permanent inslag av grov, solexponerad och torr barrved (Nitare &amp; Skogsstyrelsen, 2019).</w:t>
      </w:r>
    </w:p>
    <w:p>
      <w:r>
        <w:rPr>
          <w:b/>
        </w:rPr>
        <w:t>Timmerskapania (VU)</w:t>
      </w:r>
      <w:r>
        <w:t xml:space="preserve"> växer på hård ved som tidvis blöts ned och hittas ofta på omkullfallna trädstammar intill vattendrag och skogstjärnar, i skuggigt läge. Alla skogsskötselåtgärder på eller i närheten av lokalerna utgör ett hot och samtliga aktuella fyndlokaler måste ges ett ändamålsenligt skydd vilket måste inkludera en god tillgång på död ved liksom expositionsskydd samt att livsmiljöerna inte tillåts torka upp under någon längre period. Timmerskapania omfattas av ett åtgärdsprogram för hotade arter (ÅGP) och är rödlistad som nära hotad (NT) i den europeiska rödlistan vilket innebär att Sverige har ett internationellt ansvar för arten (SLU Artdatabanken, 2026; IUCN, 2017; Naturvårdsverket 2015).</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 trolldruva (NT)</w:t>
      </w:r>
      <w:r>
        <w:t xml:space="preserve"> har sin utbredning i övre Norrlands skogsland från Västerbotten upp till Torne lappmark och växer framför allt i frisk-fuktig, vanligen örtrik och mycket artrik granskog på näringsrik mark med rörligt markvatten. Arten är mycket sällsynt och vanligen fåtalig på sina lokaler inom hela sitt svenska utbredningsområde. Slutavverkning kan medföra kraftig decimering eller utslagning av bestånden och det är viktigt att alla lokaler med röd trolldruva undantas från skogsbruk. Röd trolldruva är typisk art för </w:t>
      </w:r>
      <w:r>
        <w:rPr>
          <w:i/>
        </w:rPr>
        <w:t>9050 Näringsrik granskog</w:t>
      </w:r>
      <w:r>
        <w:t xml:space="preserve">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fläckporing (VU, T), gräddporing (VU, T), gränsticka (VU, T), knärot (VU, T, §8), norna (VU, T, §7), blå taggsvamp (NT, T), dropptaggsvamp (NT, T), dvärgbägarlav (NT, T), knottrig blåslav (NT, T), kolflarnlav (NT, T), lavskrika (NT, T, §4), lunglav (NT, T), orange taggsvamp (NT, T), rosenticka (NT, T), röd trolldruva (NT, T), skrovellav (NT, T), talltagel (NT, T), tallticka (NT, T), tretåig hackspett (NT, T, §4), vedskivlav (NT, T), vedtrappmossa (NT, T), violmussling (NT, T), blodticka (S, T), bårdlav (S, T), gytterlav (S, T), korallblylav (S, T), luddlav (S, T), norrlandslav (S, T), nästlav (S, T), plattlummer (S, T, §9), skinnlav (S, T), spindelblomster (S, T, §8), stuplav (S, T), svart trolldruva (S, T), vedticka (S, T), ögonpyrola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