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Björnideforsen B i Arvidsjaurs kommun</w:t>
      </w:r>
    </w:p>
    <w:p>
      <w:r>
        <w:t>Denna tillsynsbegäran behandlar höga naturvärden i avverkningsanmälan Björnideforsen B i Arvidsjaurs kommun som inkom 2026-07-15 och omfattar 56,7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Björnideforsen B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7327458, E 694642 i SWEREF 99 TM.</w:t>
      </w:r>
    </w:p>
    <w:p>
      <w:r>
        <w:t>I och inom 25 meter från avverkningsanmälan finns fynd av 37 naturvårdsarter, varav 25 är rödlistade, 6 är fridlysta, 27 är typiska (T) och 11 är signalarter (S): doftticka (VU, T, §8), fläckporing (VU, T), garnlav (VU, T), gräddporing (VU, T), blanksvart spiklav (NT), blå taggsvamp (NT, T), blågrå svartspik (NT), dropptaggsvamp (NT, T), dvärgbägarlav (NT, T), gammelgransskål (NT, T), grå blåbärsfältmätare (NT), knottrig blåslav (NT, T), kolflarnlav (NT, T), ladlav (NT, T), mörk kolflarnlav (NT), nordtagging (NT), Rostania effusa (NT), skrovellav (NT, T), talltagel (NT, T), tretåig hackspett (NT, T, §4), vedflamlav (NT), vedskivlav (NT, T), vedtrappmossa (NT, T), violmussling (NT, T), vitgrynig nållav (NT), bronshjon (S, T), bårdlav (S, T), gullgröppa (S), korallrot (S, T, §8), luddlav (S, T), plattlummer (S, T, §9), skinnlav (S, T), spindelblomster (S, T, §8), stuplav (S, T), vedticka (S, T), vågbandad barkbock (S)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i/>
        </w:rPr>
        <w:t xml:space="preserve">Rostania effusa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Minskningen avser förekomstarea, kvalitén på artens habitat, antalet lokalområden och antalet reproduktiva individer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gräddporing (VU, T), blå taggsvamp (NT, T), dropptaggsvamp (NT, T), dvärgbägarlav (NT, T), gammelgransskål (NT, T), knottrig blåslav (NT, T), kolflarnlav (NT, T), ladlav (NT, T), skrovellav (NT, T), talltagel (NT, T), tretåig hackspett (NT, T, §4), vedskivlav (NT, T), vedtrappmossa (NT, T), violmussling (NT, T), bronshjon (S, T), bårdlav (S, T), korallrot (S, T, §8), luddlav (S, T), plattlummer (S, T, §9), skinnlav (S, T), spindelblomster (S, T, §8), stuplav (S, T), vedticka (S,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