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Láttakjávrátje i Arvidsjaurs kommun</w:t>
      </w:r>
    </w:p>
    <w:p>
      <w:r>
        <w:t>Denna tillsynsbegäran behandlar höga naturvärden i avverkningsanmälan Láttakjávrátje i Arvidsjaurs kommun som inkom 2026-07-13 och omfattar 70,8 ha.</w:t>
      </w:r>
    </w:p>
    <w:p>
      <w:pPr>
        <w:pStyle w:val="Caption"/>
      </w:pPr>
      <w:r>
        <w:drawing>
          <wp:inline xmlns:a="http://schemas.openxmlformats.org/drawingml/2006/main" xmlns:pic="http://schemas.openxmlformats.org/drawingml/2006/picture">
            <wp:extent cx="5486400" cy="3956269"/>
            <wp:docPr id="1" name="Picture 1"/>
            <wp:cNvGraphicFramePr>
              <a:graphicFrameLocks noChangeAspect="1"/>
            </wp:cNvGraphicFramePr>
            <a:graphic>
              <a:graphicData uri="http://schemas.openxmlformats.org/drawingml/2006/picture">
                <pic:pic>
                  <pic:nvPicPr>
                    <pic:cNvPr id="0" name="Láttakjávrátje karta.png"/>
                    <pic:cNvPicPr/>
                  </pic:nvPicPr>
                  <pic:blipFill>
                    <a:blip r:embed="rId16"/>
                    <a:stretch>
                      <a:fillRect/>
                    </a:stretch>
                  </pic:blipFill>
                  <pic:spPr>
                    <a:xfrm>
                      <a:off x="0" y="0"/>
                      <a:ext cx="5486400" cy="395626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7320821, E 682206 i SWEREF 99 TM.</w:t>
      </w:r>
    </w:p>
    <w:p>
      <w:r>
        <w:t>I och inom 12 meter från avverkningsanmälan finns fynd av 27 naturvårdsarter, varav 25 är rödlistade, 3 är fridlysta, 12 är typiska (T) och 1 är signalart (S): fläckporing (VU, T), gräddporing (VU, T), Lecidea subhumida (VU), smalfotad taggsvamp (VU), spadskinn (VU), blanksvart spiklav (NT), blå taggsvamp (NT, T), blågrå svartspik (NT), dropptaggsvamp (NT, T), dvärgbägarlav (NT, T), kolflarnlav (NT, T), kortskaftad ärgspik (NT), lavskrika (NT, T, §4), mjölsvärting (NT), nordlig nållav (NT), nordtagging (NT), orange taggsvamp (NT, T), skarp dropptaggsvamp (NT), tallriska (NT), talltagel (NT, T), talltaggsvamp (NT), talltita (NT, §4), vedflamlav (NT), vedskivlav (NT, T), vitplätt (NT),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blå taggsvamp (NT, T), dropptaggsvamp (NT, T), dvärgbägarlav (NT, T), kolflarnlav (NT, T), lavskrika (NT, T, §4), orange taggsvamp (NT, T), talltagel (NT, T), vedskivlav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