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Stenberget-Klockartjärnen i Arvidsjaurs kommun</w:t>
      </w:r>
    </w:p>
    <w:p>
      <w:r>
        <w:t>Detta klagomål behandlar höga naturvärden i avverkningsanmälan Stenberget-Klockartjärnen i Arvidsjaurs kommun som inkom 2026-07-15 och omfattar 98,5 ha.</w:t>
      </w:r>
    </w:p>
    <w:p>
      <w:pPr>
        <w:pStyle w:val="Caption"/>
      </w:pPr>
      <w:r>
        <w:drawing>
          <wp:inline xmlns:a="http://schemas.openxmlformats.org/drawingml/2006/main" xmlns:pic="http://schemas.openxmlformats.org/drawingml/2006/picture">
            <wp:extent cx="5486400" cy="4402981"/>
            <wp:docPr id="1" name="Picture 1"/>
            <wp:cNvGraphicFramePr>
              <a:graphicFrameLocks noChangeAspect="1"/>
            </wp:cNvGraphicFramePr>
            <a:graphic>
              <a:graphicData uri="http://schemas.openxmlformats.org/drawingml/2006/picture">
                <pic:pic>
                  <pic:nvPicPr>
                    <pic:cNvPr id="0" name="Stenberget-Klockartjärnen karta.png"/>
                    <pic:cNvPicPr/>
                  </pic:nvPicPr>
                  <pic:blipFill>
                    <a:blip r:embed="rId16"/>
                    <a:stretch>
                      <a:fillRect/>
                    </a:stretch>
                  </pic:blipFill>
                  <pic:spPr>
                    <a:xfrm>
                      <a:off x="0" y="0"/>
                      <a:ext cx="5486400" cy="440298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7271024, E 705777 i SWEREF 99 TM.</w:t>
      </w:r>
    </w:p>
    <w:p>
      <w:r>
        <w:t>I och inom 1 meter från avverkningsanmälan finns fynd av 52 naturvårdsarter, varav 34 är rödlistade, 12 är fridlysta, 31 är typiska (T) och 11 är signalarter (S): fläckporing (VU, T), garnlav (VU, T), gräddporing (VU, T), gränsticka (VU, T), liten sotlav (VU, T), narrporing (VU), tajgaskinn (VU), blanksvart spiklav (NT), blågrå svartspik (NT), dropptaggsvamp (NT, T), dvärgbägarlav (NT, T), gammelgransskål (NT, T), grå blåbärsfältmätare (NT), knottrig blåslav (NT, T), kolflarnlav (NT, T), koralltaggsvamp (NT, T), kortskaftad ärgspik (NT), kötticka (NT), lavskrika (NT, T, §4), mörk kolflarnlav (NT), nordtagging (NT), rosenticka (NT, T), rödbrun blekspik (NT, T), talltagel (NT, T), talltita (NT, §4), tretåig hackspett (NT, T, §4), ullticka (NT, T), vaddporing (NT), vedflamlav (NT), vedskivlav (NT, T), vedtrappmossa (NT, T), violmussling (NT, T), vitgrynig nållav (NT), vitplätt (NT), björksplintborre (S), blodticka (S, T), bronshjon (S, T), bårdlav (S, T), norrlandslav (S, T), nästlav (S, T), plattlummer (S, T, §9), skinnlav (S, T), spindelblomster (S, T, §8), vedticka (S, T), vågbandad barkbock (S), järpe (T, §4), tjäder (T, §4), vanlig groda (§6), vanlig padda (§6), fläcknycklar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Narrporing (VU)</w:t>
      </w:r>
      <w:r>
        <w:t xml:space="preserve"> är en gelésvamp med porer som växer på kraftigt rötade lågor av alm, bok och gran på relativt näringsrik, något kalkrik mark i skog. Uppenbart en mycket sällsynt art med liten population och alla fynd är gjorda i exklusiva lundmiljöer. Arten hotas främst av att dess få växtplatser lätt kan förstöras genom slutavverkning, dikning eller annan exploatering. Arten hotas på sikt även av brist på död ved, framförallt råder brist på grov ved som lågor i sena nedbrytningsstadier i det brukade skogslandskapet. Alla skogliga åtgärder som innebär att lågor och döda eller skadade träd tas bort missgynnar arten, liksom skoglig gallring eller annat uttag av virke på växtplatsen som ger ett förändrat lokalklimat. Kända lokaler bör ges ett juridiskt skydd. Arten kan förväxlas med andra resupinata tickor, och fynd behöver bekräftas med mikroskopierng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52 naturvårdsarter varav 34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