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Slaktarberget i Arvidsjaurs kommun</w:t>
      </w:r>
    </w:p>
    <w:p>
      <w:r>
        <w:t>Detta klagomål behandlar höga naturvärden i avverkningsanmälan Slaktarberget i Arvidsjaurs kommun som inkom 2026-07-17 och omfattar 61,3 ha.</w:t>
      </w:r>
    </w:p>
    <w:p>
      <w:pPr>
        <w:pStyle w:val="Caption"/>
      </w:pPr>
      <w:r>
        <w:drawing>
          <wp:inline xmlns:a="http://schemas.openxmlformats.org/drawingml/2006/main" xmlns:pic="http://schemas.openxmlformats.org/drawingml/2006/picture">
            <wp:extent cx="5486400" cy="4537331"/>
            <wp:docPr id="1" name="Picture 1"/>
            <wp:cNvGraphicFramePr>
              <a:graphicFrameLocks noChangeAspect="1"/>
            </wp:cNvGraphicFramePr>
            <a:graphic>
              <a:graphicData uri="http://schemas.openxmlformats.org/drawingml/2006/picture">
                <pic:pic>
                  <pic:nvPicPr>
                    <pic:cNvPr id="0" name="Slaktarberget karta.png"/>
                    <pic:cNvPicPr/>
                  </pic:nvPicPr>
                  <pic:blipFill>
                    <a:blip r:embed="rId16"/>
                    <a:stretch>
                      <a:fillRect/>
                    </a:stretch>
                  </pic:blipFill>
                  <pic:spPr>
                    <a:xfrm>
                      <a:off x="0" y="0"/>
                      <a:ext cx="5486400" cy="453733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7303395, E 715320 i SWEREF 99 TM.</w:t>
      </w:r>
    </w:p>
    <w:p>
      <w:r>
        <w:t>I och inom 9 meter från avverkningsanmälan finns fynd av 57 naturvårdsarter, varav 38 är rödlistade, 13 är fridlysta, 40 är typiska (T) och 14 är signalarter (S): doftticka (VU, T, §8), fläckporing (VU, T), garnlav (VU, T), gräddporing (VU, T), gränsticka (VU, T), knärot (VU, T, §8), lappticka (VU, T), Lecidea subhumida (VU), mospindling (VU), skrovlig taggsvamp (VU), blanksvart spiklav (NT), blågrå svartspik (NT), dropptaggsvamp (NT, T), dvärgbägarlav (NT, T), gammelgransskål (NT, T), grå blåbärsfältmätare (NT), harticka (NT, T), hornvaxskinn (NT), knottrig blåslav (NT, T), kolflarnlav (NT, T), kortskaftad ärgspik (NT), lavskrika (NT, T, §4), lunglav (NT, T), mörk kolflarnlav (NT), nordtagging (NT), rosenticka (NT, T), skarp dropptaggsvamp (NT), skrovellav (NT, T), stjärntagging (NT, T), talltagel (NT, T), talltita (NT, §4), tretåig hackspett (NT, T, §4), ullticka (NT, T), vedflamlav (NT), vedskivlav (NT, T), vedtrappmossa (NT, T), vitgrynig nållav (NT), vitplätt (NT), bronshjon (S, T), bårdlav (S, T), korallrot (S, T, §8), luddlav (S, T), mörk husmossa (S, T), norrlandslav (S, T), nästlav (S, T), plattlummer (S, T, §9), skinnlav (S, T), spindelblomster (S, T, §8), stuplav (S, T), trådticka (S, T), vedticka (S, T), ögonpyrola (S, T), järpe (T, §4),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506076"/>
            <wp:docPr id="2" name="Picture 2"/>
            <wp:cNvGraphicFramePr>
              <a:graphicFrameLocks noChangeAspect="1"/>
            </wp:cNvGraphicFramePr>
            <a:graphic>
              <a:graphicData uri="http://schemas.openxmlformats.org/drawingml/2006/picture">
                <pic:pic>
                  <pic:nvPicPr>
                    <pic:cNvPr id="0" name="Slaktarberget karta knärot.png"/>
                    <pic:cNvPicPr/>
                  </pic:nvPicPr>
                  <pic:blipFill>
                    <a:blip r:embed="rId17"/>
                    <a:stretch>
                      <a:fillRect/>
                    </a:stretch>
                  </pic:blipFill>
                  <pic:spPr>
                    <a:xfrm>
                      <a:off x="0" y="0"/>
                      <a:ext cx="5486400" cy="7506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7303395, E 715320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57 naturvårdsarter varav 38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