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Björnideforsen A i Arvidsjaurs kommun</w:t>
      </w:r>
    </w:p>
    <w:p>
      <w:r>
        <w:t>Denna tillsynsbegäran behandlar höga naturvärden i avverkningsanmälan Björnideforsen A i Arvidsjaurs kommun som inkom 2026-07-17 och omfattar 56,9 ha.</w:t>
      </w:r>
    </w:p>
    <w:p>
      <w:pPr>
        <w:pStyle w:val="Caption"/>
      </w:pPr>
      <w:r>
        <w:drawing>
          <wp:inline xmlns:a="http://schemas.openxmlformats.org/drawingml/2006/main" xmlns:pic="http://schemas.openxmlformats.org/drawingml/2006/picture">
            <wp:extent cx="4624331" cy="5724000"/>
            <wp:docPr id="1" name="Picture 1"/>
            <wp:cNvGraphicFramePr>
              <a:graphicFrameLocks noChangeAspect="1"/>
            </wp:cNvGraphicFramePr>
            <a:graphic>
              <a:graphicData uri="http://schemas.openxmlformats.org/drawingml/2006/picture">
                <pic:pic>
                  <pic:nvPicPr>
                    <pic:cNvPr id="0" name="Björnideforsen A karta.png"/>
                    <pic:cNvPicPr/>
                  </pic:nvPicPr>
                  <pic:blipFill>
                    <a:blip r:embed="rId16"/>
                    <a:stretch>
                      <a:fillRect/>
                    </a:stretch>
                  </pic:blipFill>
                  <pic:spPr>
                    <a:xfrm>
                      <a:off x="0" y="0"/>
                      <a:ext cx="462433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7325842, E 695258 i SWEREF 99 TM.</w:t>
      </w:r>
    </w:p>
    <w:p>
      <w:r>
        <w:t>I avverkningsanmälan finns fynd av 32 naturvårdsarter, varav 23 är rödlistade, 4 är fridlysta, 18 är typiska (T) och 9 är signalarter (S): fläckporing (VU, T), gräddporing (VU, T), Lecidea subhumida (VU), smalfotad taggsvamp (VU), blanksvart spiklav (NT), blå taggsvamp (NT, T), blågrå svartspik (NT), dropptaggsvamp (NT, T), dvärgbägarlav (NT, T), knottrig blåslav (NT, T), kolflarnlav (NT, T), liten svartspik (NT), mörk kolflarnlav (NT), orange taggsvamp (NT, T), skarp dropptaggsvamp (NT), svartvit taggsvamp (NT), talltagel (NT, T), talltaggsvamp (NT), tallticka (NT, T), tretåig hackspett (NT, T, §4), vedflamlav (NT), vedskivlav (NT, T), vitgrynig nållav (NT), bårdlav (S, T), gullgröppa (S), korallrot (S, T, §8), källmossa (S), plattlummer (S, T, §9), spindelblomster (S, T, §8), trådfräken (S), vedticka (S, T) och ögonpyrola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i/>
        </w:rPr>
        <w:t xml:space="preserve">Lecidea subhumida </w:t>
      </w:r>
      <w:r>
        <w:rPr>
          <w:b/>
        </w:rPr>
        <w:t>(VU)</w:t>
      </w:r>
      <w:r>
        <w:t xml:space="preserve"> är en skivlav som växer på ved (grenar, stam) av gamla tallar i subalpin skog. Arten påverkas negativt av brist på kontinuitetsskog och en minskning av populationen pågår eller förväntas ske. Antalet individer bedöms vara lägre än gränsvärdet för sårbar (VU) (SLU Artdatabanken, 2026).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fläckporing (VU, T), gräddporing (VU, T), blå taggsvamp (NT, T), dropptaggsvamp (NT, T), dvärgbägarlav (NT, T), knottrig blåslav (NT, T), kolflarnlav (NT, T), orange taggsvamp (NT, T), talltagel (NT, T), tallticka (NT, T), tretåig hackspett (NT, T, §4), vedskivlav (NT, T), bårdlav (S, T), korallrot (S, T, §8), plattlummer (S, T, §9), spindelblomster (S, T, §8), vedticka (S, T) och ögonpyrola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