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Suddiesjávrrie i Arvidsjaurs kommun</w:t>
      </w:r>
    </w:p>
    <w:p>
      <w:r>
        <w:t>Denna tillsynsbegäran behandlar höga naturvärden i avverkningsanmälan Suddiesjávrrie i Arvidsjaurs kommun som inkom 2026-07-19 och omfattar 176,6 ha.</w:t>
      </w:r>
    </w:p>
    <w:p>
      <w:pPr>
        <w:pStyle w:val="Caption"/>
      </w:pPr>
      <w:r>
        <w:drawing>
          <wp:inline xmlns:a="http://schemas.openxmlformats.org/drawingml/2006/main" xmlns:pic="http://schemas.openxmlformats.org/drawingml/2006/picture">
            <wp:extent cx="5486400" cy="4993731"/>
            <wp:docPr id="1" name="Picture 1"/>
            <wp:cNvGraphicFramePr>
              <a:graphicFrameLocks noChangeAspect="1"/>
            </wp:cNvGraphicFramePr>
            <a:graphic>
              <a:graphicData uri="http://schemas.openxmlformats.org/drawingml/2006/picture">
                <pic:pic>
                  <pic:nvPicPr>
                    <pic:cNvPr id="0" name="Suddiesjávrrie karta.png"/>
                    <pic:cNvPicPr/>
                  </pic:nvPicPr>
                  <pic:blipFill>
                    <a:blip r:embed="rId16"/>
                    <a:stretch>
                      <a:fillRect/>
                    </a:stretch>
                  </pic:blipFill>
                  <pic:spPr>
                    <a:xfrm>
                      <a:off x="0" y="0"/>
                      <a:ext cx="5486400" cy="499373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7315687, E 684380 i SWEREF 99 TM.</w:t>
      </w:r>
    </w:p>
    <w:p>
      <w:r>
        <w:t>I och inom 21 meter från avverkningsanmälan finns fynd av 50 naturvårdsarter, varav 38 är rödlistade, 11 är fridlysta, 27 är typiska (T) och 6 är signalarter (S): doftticka (VU, T, §8), fläckporing (VU, T), garnlav (VU, T), gräddporing (VU, T), mospindling (VU), skrovlig taggsvamp (VU), smalfotad taggsvamp (VU), tajgataggsvamp (VU), tallgråticka (VU), blanksvart spiklav (NT), blå taggsvamp (NT, T), blågrå svartspik (NT), dropptaggsvamp (NT, T), dvärgbägarlav (NT, T), gammelgransskål (NT, T), grå blåbärsfältmätare (NT), hornvaxskinn (NT), knottrig blåslav (NT, T), kolflarnlav (NT, T), kortskaftad ärgspik (NT), lavskrika (NT, T, §4), liten svartspik (NT), mörk kolflarnlav (NT), nordtagging (NT), reliktbock (NT, T), rosenticka (NT, T), skarp dropptaggsvamp (NT), svartvit taggsvamp (NT), talltagel (NT, T), talltaggsvamp (NT), tretåig hackspett (NT, T, §4), ullticka (NT, T), vaddporing (NT), vedflamlav (NT), vedskivlav (NT, T), vedtrappmossa (NT, T), vitgrynig nållav (NT), vitplätt (NT), bronshjon (S, T), norrlandslav (S, T), nästlav (S, T), plattlummer (S, T, §9), spindelblomster (S, T, §8), vedticka (S, T), mattlummer (T, §9), spillkråka (T, §4), tjäder (T, §4), kungsfågel (§4),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Mospindling (VU)</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(NT) vilket innebär att Sverige har ett internationellt ansvar för arten (IUCN, 2025;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garnlav (VU, T), gräddporing (VU, T), blå taggsvamp (NT, T), dropptaggsvamp (NT, T), dvärgbägarlav (NT, T), gammelgransskål (NT, T), knottrig blåslav (NT, T), kolflarnlav (NT, T), lavskrika (NT, T, §4), reliktbock (NT, T), rosenticka (NT, T), talltagel (NT, T), tretåig hackspett (NT, T, §4), ullticka (NT, T), vedskivlav (NT, T), vedtrappmossa (NT, T), bronshjon (S, T), norrlandslav (S, T), nästlav (S, T), plattlummer (S, T, §9), spindelblomster (S, T, §8), vedticka (S, T),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