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Slaktarberget i Arvidsjaurs kommun</w:t>
      </w:r>
    </w:p>
    <w:p>
      <w:r>
        <w:t>Detta dokument behandlar höga naturvärden i avverkningsanmälan Slaktarberget i Arvidsjaurs kommun. Denna avverkningsanmälan inkom 2023-07-27 och omfattar 61,3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57 naturvårdsarter hittats: doftticka (VU, §8), fläckporing (VU), gräddporing (VU), gräddticka (VU), knärot (VU, §8), lappticka (VU), blanksvart spiklav (NT), blågrå svartspik (NT), dvärgbägarlav (NT), gammelgransskål (NT), garnlav (NT), granticka (NT), gränsticka (NT), grå blåbärsfältmätare (NT), harticka (NT), hornvaxskinn (NT), järpe (NT, §4), knottrig blåslav (NT), kolflarnlav (NT), kortskaftad ärgspik (NT), lunglav (NT), mospindling (NT), mörk kolflarnlav (NT), nordtagging (NT), rosenticka (NT), skrovellav (NT), skrovlig taggsvamp (NT), spillkråka (NT, §4), stjärntagging (NT), talltita (NT, §4), tretåig hackspett (NT, §4), ullticka (NT), vedflamlav (NT), vedskivlav (NT), vedtrappmossa (NT), vitgrynig nållav (NT), vitplätt (NT), bronshjon (S), bårdlav (S), dropptaggsvamp (S), korallrot (S, §8), luddlav (S), mörk husmossa (S), norrlandslav (S), nästlav (S), plattlummer (S, §9), skarp dropptaggsvamp (S), skinnlav (S), spindelblomster (S, §8), stuplav (S), trådticka (S), vedticka (S), ögonpyrola (S), lavskrika (§4), tjäder (§4), fläcknycklar (§8) och revlummer (§9). Av dessa är 37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38660"/>
            <wp:docPr id="1" name="Picture 1"/>
            <wp:cNvGraphicFramePr>
              <a:graphicFrameLocks noChangeAspect="1"/>
            </wp:cNvGraphicFramePr>
            <a:graphic>
              <a:graphicData uri="http://schemas.openxmlformats.org/drawingml/2006/picture">
                <pic:pic>
                  <pic:nvPicPr>
                    <pic:cNvPr id="0" name="Slaktarberget karta.png"/>
                    <pic:cNvPicPr/>
                  </pic:nvPicPr>
                  <pic:blipFill>
                    <a:blip r:embed="rId16"/>
                    <a:stretch>
                      <a:fillRect/>
                    </a:stretch>
                  </pic:blipFill>
                  <pic:spPr>
                    <a:xfrm>
                      <a:off x="0" y="0"/>
                      <a:ext cx="5486400" cy="463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7303395, E 715320 i SWEREF 99 TM.</w:t>
      </w:r>
    </w:p>
    <w:p>
      <w:pPr>
        <w:pStyle w:val="Heading1"/>
      </w:pPr>
      <w:r>
        <w:t>Fridlysta arter</w:t>
      </w:r>
    </w:p>
    <w:p>
      <w:r>
        <w:t>Följande fridlysta arter har sina livsmiljöer och växtplatser i den avverkningsanmälda skogen: doftticka (VU, §8), knärot (VU, §8), järpe (NT, §4), spillkråka (NT, §4), talltita (NT, §4), tretåig hackspett (NT, §4), korallrot (S, §8), plattlummer (S, §9), spindelblomster (S, §8), lavskrika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xml:space="preserve">, rödlistad som nära hotad och prioriterad art i Skogsvårdslagen har häckningsrevir i avverkningsanmälan. Arten har minskat med 25 (10 - 40)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 </w:t>
      </w:r>
    </w:p>
    <w:p>
      <w:r>
        <w:rPr>
          <w:b/>
        </w:rPr>
        <w:t>Knärot (VU, §8)</w:t>
      </w:r>
      <w:r>
        <w:t xml:space="preserve"> är rödlistad som sårbar (VU). För att knärot inte ska ta skada av skogsbruksåtgärder i intilliggande skog krävs buffertzoner på minst 50 meter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2023).</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7655609"/>
            <wp:docPr id="2" name="Picture 2"/>
            <wp:cNvGraphicFramePr>
              <a:graphicFrameLocks noChangeAspect="1"/>
            </wp:cNvGraphicFramePr>
            <a:graphic>
              <a:graphicData uri="http://schemas.openxmlformats.org/drawingml/2006/picture">
                <pic:pic>
                  <pic:nvPicPr>
                    <pic:cNvPr id="0" name="Slaktarberget karta knärot.png"/>
                    <pic:cNvPicPr/>
                  </pic:nvPicPr>
                  <pic:blipFill>
                    <a:blip r:embed="rId17"/>
                    <a:stretch>
                      <a:fillRect/>
                    </a:stretch>
                  </pic:blipFill>
                  <pic:spPr>
                    <a:xfrm>
                      <a:off x="0" y="0"/>
                      <a:ext cx="5486400" cy="765560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7303395, E 715320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 Varje par utnyttjar 400-1 000 hektar skog beroende på skogens kvalitet. En minskning av populationen pågår på grund av minskad tillgång på lämpliga bo- och födoträd och minskad födotillgång. Spillkråkans minskningstakt har uppgått till 19 (24-10) % under de senaste 15 åren.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2024-07-24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