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Njuorokvárátj i Arvidsjaurs kommun</w:t>
      </w:r>
    </w:p>
    <w:p>
      <w:r>
        <w:t>Detta klagomål behandlar höga naturvärden i avverkningsanmälan Njuorokvárátj i Arvidsjaurs kommun som inkom 2026-07-19 och omfattar 57,8 ha.</w:t>
      </w:r>
    </w:p>
    <w:p>
      <w:pPr>
        <w:pStyle w:val="Caption"/>
      </w:pPr>
      <w:r>
        <w:drawing>
          <wp:inline xmlns:a="http://schemas.openxmlformats.org/drawingml/2006/main" xmlns:pic="http://schemas.openxmlformats.org/drawingml/2006/picture">
            <wp:extent cx="5486400" cy="5163253"/>
            <wp:docPr id="1" name="Picture 1"/>
            <wp:cNvGraphicFramePr>
              <a:graphicFrameLocks noChangeAspect="1"/>
            </wp:cNvGraphicFramePr>
            <a:graphic>
              <a:graphicData uri="http://schemas.openxmlformats.org/drawingml/2006/picture">
                <pic:pic>
                  <pic:nvPicPr>
                    <pic:cNvPr id="0" name="Njuorokvárátj karta.png"/>
                    <pic:cNvPicPr/>
                  </pic:nvPicPr>
                  <pic:blipFill>
                    <a:blip r:embed="rId16"/>
                    <a:stretch>
                      <a:fillRect/>
                    </a:stretch>
                  </pic:blipFill>
                  <pic:spPr>
                    <a:xfrm>
                      <a:off x="0" y="0"/>
                      <a:ext cx="5486400" cy="5163253"/>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har ett svart streck som visar fyndplatsens exakta position. Kartans mittpunktskoordinat är N 7337180, E 673525 i SWEREF 99 TM.</w:t>
      </w:r>
    </w:p>
    <w:p>
      <w:r>
        <w:t>I och inom 22 meter från avverkningsanmälan finns fynd av 32 naturvårdsarter, varav 27 är rödlistade, 7 är fridlysta, 15 är typiska (T) och 3 är signalarter (S): fläckporing (VU, T), gräddporing (VU, T), gränsticka (VU, T), skrovlig taggsvamp (VU), smalfotad taggsvamp (VU), tallstocksticka (VU), tornseglare (VU, §4), blanksvart spiklav (NT), blå taggsvamp (NT, T), blågrå svartspik (NT), dropptaggsvamp (NT, T), dvärgbägarlav (NT, T), hornvaxskinn (NT), kolflarnlav (NT, T), kortskaftad ärgspik (NT), lavskrika (NT, T, §4), mörk kolflarnlav (NT), nordtagging (NT), skarp dropptaggsvamp (NT), talltaggsvamp (NT), talltita (NT, §4), tretåig hackspett (NT, T, §4), vaddporing (NT), vedflamlav (NT), vedskivlav (NT, T), vedtrappmossa (NT, T), vitplätt (NT), gullgröppa (S), plattlummer (S, T, §9), vedticka (S, T), järpe (T,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Tallstocksticka (VU)</w:t>
      </w:r>
      <w:r>
        <w:t xml:space="preserve"> växer på gammal hård och grånad ved som under lång tid legat exponerad, främst barklösa grova lågor av tall i öppna, torra och solvarma miljöer. Arten är placerad högst upp i Skogsstyrelsens värdepyramid för bedömning av skog med höga naturvärden och signalerar glesa tallnaturskogar med permanent inslag av grov, solexponerad och torr barrved (Nitare &amp; Skogsstyrelsen, 2019).</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Hornvaxskinn (NT) </w:t>
      </w:r>
      <w:r>
        <w:t>påträffas på gamla senvuxna, torra och hårda lågor i gamla naturskogsartade eller plockhuggna tallskogar i norra Sverige. Arten hotas av avverkning av naturskogsartade tallskogar och uttag av torrakor till timring av byggnader. Avverkning av naturskogsliknande tallskogar bör ej förekomma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32 naturvårdsarter varav 27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