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Stensjöåsen i Bjurholms kommun</w:t>
      </w:r>
    </w:p>
    <w:p>
      <w:r>
        <w:t>Detta klagomål behandlar höga naturvärden i avverkningsanmälan Stensjöåsen i Bjurholms kommun som inkom 2026-07-20 och omfattar 117,8 ha.</w:t>
      </w:r>
    </w:p>
    <w:p>
      <w:pPr>
        <w:pStyle w:val="Caption"/>
      </w:pPr>
      <w:r>
        <w:drawing>
          <wp:inline xmlns:a="http://schemas.openxmlformats.org/drawingml/2006/main" xmlns:pic="http://schemas.openxmlformats.org/drawingml/2006/picture">
            <wp:extent cx="5486400" cy="5099901"/>
            <wp:docPr id="1" name="Picture 1"/>
            <wp:cNvGraphicFramePr>
              <a:graphicFrameLocks noChangeAspect="1"/>
            </wp:cNvGraphicFramePr>
            <a:graphic>
              <a:graphicData uri="http://schemas.openxmlformats.org/drawingml/2006/picture">
                <pic:pic>
                  <pic:nvPicPr>
                    <pic:cNvPr id="0" name="Stensjöåsen karta.png"/>
                    <pic:cNvPicPr/>
                  </pic:nvPicPr>
                  <pic:blipFill>
                    <a:blip r:embed="rId16"/>
                    <a:stretch>
                      <a:fillRect/>
                    </a:stretch>
                  </pic:blipFill>
                  <pic:spPr>
                    <a:xfrm>
                      <a:off x="0" y="0"/>
                      <a:ext cx="5486400" cy="50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7103682, E 679543 i SWEREF 99 TM.</w:t>
      </w:r>
    </w:p>
    <w:p>
      <w:r>
        <w:t>I avverkningsanmälan finns fynd av 12 naturvårdsarter, varav 11 är rödlistade, 7 är typiska (T) och 1 är signalart (S): gräddporing (VU, T), tajgataggsvamp (VU), blå taggsvamp (NT, T), dropptaggsvamp (NT, T), dvärgbägarlav (NT, T), kolflarnlav (NT, T), nordtagging (NT), reliktbock (NT, T), skarp dropptaggsvamp (NT), vaddporing (NT), vedflamlav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