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2026-07-12 och omfattar 121,7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39 naturvårdsarter, varav 24 är rödlistade, 10 är fridlysta, 29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