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Lill-Lögdåberget O i Bjurholms kommun</w:t>
      </w:r>
    </w:p>
    <w:p>
      <w:r>
        <w:t>Detta klagomål behandlar höga naturvärden i avverkningsanmälan Lill-Lögdåberget O i Bjurholms kommun som inkom 2026-07-19 och omfattar 27,2 ha.</w:t>
      </w:r>
    </w:p>
    <w:p>
      <w:pPr>
        <w:pStyle w:val="Caption"/>
      </w:pPr>
      <w:r>
        <w:drawing>
          <wp:inline xmlns:a="http://schemas.openxmlformats.org/drawingml/2006/main" xmlns:pic="http://schemas.openxmlformats.org/drawingml/2006/picture">
            <wp:extent cx="5486400" cy="5203854"/>
            <wp:docPr id="1" name="Picture 1"/>
            <wp:cNvGraphicFramePr>
              <a:graphicFrameLocks noChangeAspect="1"/>
            </wp:cNvGraphicFramePr>
            <a:graphic>
              <a:graphicData uri="http://schemas.openxmlformats.org/drawingml/2006/picture">
                <pic:pic>
                  <pic:nvPicPr>
                    <pic:cNvPr id="0" name="Lill-Lögdåberget O karta.png"/>
                    <pic:cNvPicPr/>
                  </pic:nvPicPr>
                  <pic:blipFill>
                    <a:blip r:embed="rId16"/>
                    <a:stretch>
                      <a:fillRect/>
                    </a:stretch>
                  </pic:blipFill>
                  <pic:spPr>
                    <a:xfrm>
                      <a:off x="0" y="0"/>
                      <a:ext cx="5486400" cy="5203854"/>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har ett svart streck som visar fyndplatsens exakta position. Kartans mittpunktskoordinat är N 7107231, E 685294 i SWEREF 99 TM.</w:t>
      </w:r>
    </w:p>
    <w:p>
      <w:r>
        <w:t>I och inom 2 meter från avverkningsanmälan finns fynd av 39 naturvårdsarter, varav 29 är rödlistade, 9 är fridlysta, 24 är typiska (T) och 7 är signalarter (S): fläckporing (VU, T), garnlav (VU, T), gräddporing (VU, T), knärot (VU, T, §8), tornseglare (VU, §4), barkporlav (NT), blanksvart spiklav (NT), blågrå svartspik (NT), brunpudrad nållav (NT, T), Corticaria interstitialis (NT), dropptaggsvamp (NT, T), dvärgbägarlav (NT, T), Ernobius explanatus (NT), granbarkmögelbagge (NT), kolflarnlav (NT, T), kortskaftad ärgspik (NT), kådvaxskinn (NT), lavskrika (NT, T, §4), lunglav (NT, T), mörk kolflarnlav (NT), rynkskinn (NT, T), skrovellav (NT, T), talltita (NT, §4), tretåig hackspett (NT, T, §4), ullticka (NT, T), vedflamlav (NT), vedskivlav (NT, T), violettgrå tagellav (NT, T), vitgrynig nållav (NT), luddlav (S, T), nästlav (S, T), skinnlav (S, T), spindelblomster (S, T, §8), stuplav (S, T), vedticka (S, T), ögonpyrola (S, T), spillkråka (T, §4), kungsfågel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10 fyndplatser för knärot registrerade på Artportalen. Figur 2 visar gränserna för buffertzoner på 50 m, som behöver lämnas kring fyndplatserna för att knärotslokalerna inte ska försvinna vid en avverkning. Av det avverkningsanmälda området överlappar 2.03 ha med buffertzonerna och får av detta skäl inte avverkas.</w:t>
      </w:r>
    </w:p>
    <w:p>
      <w:pPr>
        <w:pStyle w:val="Caption"/>
      </w:pPr>
      <w:r>
        <w:drawing>
          <wp:inline xmlns:a="http://schemas.openxmlformats.org/drawingml/2006/main" xmlns:pic="http://schemas.openxmlformats.org/drawingml/2006/picture">
            <wp:extent cx="5486400" cy="6914432"/>
            <wp:docPr id="2" name="Picture 2"/>
            <wp:cNvGraphicFramePr>
              <a:graphicFrameLocks noChangeAspect="1"/>
            </wp:cNvGraphicFramePr>
            <a:graphic>
              <a:graphicData uri="http://schemas.openxmlformats.org/drawingml/2006/picture">
                <pic:pic>
                  <pic:nvPicPr>
                    <pic:cNvPr id="0" name="Lill-Lögdåberget O karta knärot.png"/>
                    <pic:cNvPicPr/>
                  </pic:nvPicPr>
                  <pic:blipFill>
                    <a:blip r:embed="rId17"/>
                    <a:stretch>
                      <a:fillRect/>
                    </a:stretch>
                  </pic:blipFill>
                  <pic:spPr>
                    <a:xfrm>
                      <a:off x="0" y="0"/>
                      <a:ext cx="5486400" cy="691443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7107231, E 685294 i SWEREF 99 TM.</w:t>
      </w:r>
    </w:p>
    <w:p>
      <w:r>
        <w:rPr>
          <w:b/>
        </w:rPr>
        <w:t>Tornseglare (VU, §4)</w:t>
      </w:r>
      <w:r>
        <w:t xml:space="preserve"> har minskat med 40 (30–50) % under de senaste 24 åren och minskningstakten överstiger gränsvärdet för sårbar (VU). Tornseglaren är en typisk hålhäckare som numera huvudsakligen är knuten till mänsklig bebyggelse. En mindre andel av beståndet häckar i mer ursprungliga miljöer, i första hand i gamla hackspetthål (främst spillkråkehål) och andra typer av håligheter i träd, men även i klippskrevor. I de inre delarna av de två nordligaste länen (Lappland) häckar den huvudsakligen i ren skogsmiljö, framförallt i gammal gles tallskog. För de tornseglare som häckar i träd i Norrlands inland har situationen sannolikt försämrats till följd av minskad mängd hålträd och av stora arealer tät produktionsskog. När arten förekommer i sluten skog handlar det ofta om skyddsvärda skogsmiljöer med äldre tallskog av naturskogskaraktär (SLU Artdatabanken, 2026; Skogsstyrelsen, 2016).</w:t>
      </w:r>
    </w:p>
    <w:p>
      <w:r>
        <w:rPr>
          <w:b/>
        </w:rPr>
        <w:t>Barkporlav (NT)</w:t>
      </w:r>
      <w:r>
        <w:t xml:space="preserve"> växer främst på äldre lövträd i lövrika barrskogar av naturskogskaraktär med hög luftfuktighet. Flera av växtplatserna är vid större vattenfall, där forsdimma ger hög och jämn luftfuktighet. Det huvudsakliga hotet mot arten är skogsavverkningar och det finns inga uppgifter om att arten överlever på lövträd som har ställts kvar efter slutavverkning. Kända lokaler bör skyddas (SLU Artdatabanken, 2024).</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i/>
        </w:rPr>
        <w:t>Corticaria interstitialis</w:t>
      </w:r>
      <w:r>
        <w:rPr>
          <w:b/>
        </w:rPr>
        <w:t xml:space="preserve"> (NT)</w:t>
      </w:r>
      <w:r>
        <w:t xml:space="preserve"> är en skogslevande mögelbagge som framförallt hittas i lövrika naturskogar i Norrlands inland. Arten påträffas under bark, i mycelrik ved och på vedsvampar på döda träd, främst asp och björk, och ibland även i förna. Genom artens anknytning till mer naturlig lövrik skog så hotas den av skogsbruk. Fler naturskogsområden behöver skyddas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Granbarkmögelbagge (NT)</w:t>
      </w:r>
      <w:r>
        <w:t xml:space="preserve"> är en skalbagge vars larvutveckling sker under svampig bark på gran, oftast grova lågor och stubbar eller vid basen av levande, grovbarkiga träd, helst i slutna bestånd. Arten hotas av minskande mängd naturskog, fler grannaturskogar behöver skyddas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Kådvaxskinn (NT)</w:t>
      </w:r>
      <w:r>
        <w:t xml:space="preserve"> är en nedbrytare på grova lågor av tall eller gran i det förmultningsstadium då barken fallit av. Arten tillhör den boreala blåbärsbarrskogens vedsvampssamhälle och hittas främst i naturskogsartad eller plockhuggen skog med mycket död ved. Arten hotas av avverkning av äldre barrskog. Den typ av vedkvalité som arten fordrar nyskapas i alltför liten omfattning i produktionsskog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36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39 naturvårdsarter varav 29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2026-07-19</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